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29698d424b2.htm"/>
      <w:bookmarkStart w:id="1" w:name="ksd29698d424b2"/>
      <w:bookmarkEnd w:id="0"/>
      <w:bookmarkEnd w:id="1"/>
      <w:r>
        <w:rPr>
          <w:rFonts w:ascii="Times New Roman" w:hAnsi="Times New Roman"/>
          <w:b/>
          <w:sz w:val="20"/>
        </w:rPr>
        <w:t xml:space="preserve">Filed Pursuant to Rule </w:t>
      </w:r>
    </w:p>
    <w:p>
      <w:pPr>
        <w:pStyle w:val="TextBody"/>
        <w:bidi w:val="0"/>
        <w:spacing w:before="0" w:after="0"/>
        <w:jc w:val="right"/>
        <w:rPr>
          <w:rFonts w:ascii="Times New Roman" w:hAnsi="Times New Roman"/>
          <w:b/>
          <w:sz w:val="20"/>
        </w:rPr>
      </w:pPr>
      <w:r>
        <w:rPr>
          <w:rFonts w:ascii="Times New Roman" w:hAnsi="Times New Roman"/>
          <w:b/>
          <w:sz w:val="20"/>
        </w:rPr>
        <w:t>424(b)(2)</w:t>
      </w:r>
    </w:p>
    <w:p>
      <w:pPr>
        <w:pStyle w:val="TextBody"/>
        <w:bidi w:val="0"/>
        <w:spacing w:before="0" w:after="0"/>
        <w:jc w:val="right"/>
        <w:rPr>
          <w:rFonts w:ascii="Times New Roman" w:hAnsi="Times New Roman"/>
          <w:b/>
          <w:sz w:val="20"/>
        </w:rPr>
      </w:pPr>
      <w:r>
        <w:rPr>
          <w:rFonts w:ascii="Times New Roman" w:hAnsi="Times New Roman"/>
          <w:b/>
          <w:sz w:val="20"/>
        </w:rPr>
        <w:br/>
        <w:t xml:space="preserve">Registration No. 333-277540 </w:t>
      </w:r>
    </w:p>
    <w:p>
      <w:pPr>
        <w:pStyle w:val="TextBody"/>
        <w:bidi w:val="0"/>
        <w:spacing w:before="0" w:after="0"/>
        <w:jc w:val="left"/>
        <w:rPr/>
      </w:pPr>
      <w:r>
        <w:rPr/>
        <w:t> </w:t>
      </w:r>
    </w:p>
    <w:p>
      <w:pPr>
        <w:pStyle w:val="TextBody"/>
        <w:bidi w:val="0"/>
        <w:spacing w:before="0" w:after="0"/>
        <w:jc w:val="left"/>
        <w:rPr>
          <w:rFonts w:ascii="Times New Roman" w:hAnsi="Times New Roman"/>
          <w:b/>
          <w:sz w:val="16"/>
        </w:rPr>
      </w:pPr>
      <w:r>
        <w:rPr>
          <w:rFonts w:ascii="Times New Roman" w:hAnsi="Times New Roman"/>
          <w:b/>
          <w:sz w:val="16"/>
        </w:rPr>
        <w:t xml:space="preserve">PROSPECTUS SUPPLEMENT </w:t>
      </w:r>
    </w:p>
    <w:p>
      <w:pPr>
        <w:pStyle w:val="TextBody"/>
        <w:bidi w:val="0"/>
        <w:spacing w:before="0" w:after="0"/>
        <w:jc w:val="left"/>
        <w:rPr>
          <w:rFonts w:ascii="Times New Roman" w:hAnsi="Times New Roman"/>
          <w:b/>
          <w:sz w:val="16"/>
        </w:rPr>
      </w:pPr>
      <w:r>
        <w:rPr>
          <w:rFonts w:ascii="Times New Roman" w:hAnsi="Times New Roman"/>
          <w:b/>
          <w:sz w:val="16"/>
        </w:rPr>
        <w:t xml:space="preserve">(To Prospectus Dated May 8, 2024) </w:t>
      </w:r>
    </w:p>
    <w:p>
      <w:pPr>
        <w:pStyle w:val="TextBody"/>
        <w:bidi w:val="0"/>
        <w:spacing w:before="0" w:after="0"/>
        <w:jc w:val="left"/>
        <w:rPr/>
      </w:pPr>
      <w:r>
        <w:rPr/>
        <w:t> </w:t>
      </w:r>
    </w:p>
    <w:p>
      <w:pPr>
        <w:pStyle w:val="TextBody"/>
        <w:bidi w:val="0"/>
        <w:spacing w:before="0" w:after="0"/>
        <w:jc w:val="center"/>
        <w:rPr/>
      </w:pPr>
      <w:r>
        <w:rPr/>
        <w:drawing>
          <wp:inline distT="0" distB="0" distL="0" distR="0">
            <wp:extent cx="1343025" cy="685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43025" cy="685800"/>
                    </a:xfrm>
                    <a:prstGeom prst="rect">
                      <a:avLst/>
                    </a:prstGeom>
                  </pic:spPr>
                </pic:pic>
              </a:graphicData>
            </a:graphic>
          </wp:inline>
        </w:drawing>
      </w:r>
    </w:p>
    <w:p>
      <w:pPr>
        <w:pStyle w:val="TextBody"/>
        <w:bidi w:val="0"/>
        <w:spacing w:before="80" w:after="0"/>
        <w:jc w:val="center"/>
        <w:rPr>
          <w:rFonts w:ascii="Times New Roman" w:hAnsi="Times New Roman"/>
          <w:b/>
          <w:sz w:val="24"/>
        </w:rPr>
      </w:pPr>
      <w:r>
        <w:rPr>
          <w:rFonts w:ascii="Times New Roman" w:hAnsi="Times New Roman"/>
          <w:b/>
          <w:sz w:val="24"/>
        </w:rPr>
        <w:t xml:space="preserve">$100,000,000 </w:t>
      </w:r>
    </w:p>
    <w:p>
      <w:pPr>
        <w:pStyle w:val="TextBody"/>
        <w:bidi w:val="0"/>
        <w:spacing w:before="0" w:after="0"/>
        <w:jc w:val="center"/>
        <w:rPr>
          <w:rFonts w:ascii="Times New Roman" w:hAnsi="Times New Roman"/>
          <w:b/>
          <w:sz w:val="24"/>
        </w:rPr>
      </w:pPr>
      <w:r>
        <w:rPr>
          <w:rFonts w:ascii="Times New Roman" w:hAnsi="Times New Roman"/>
          <w:b/>
          <w:sz w:val="24"/>
        </w:rPr>
        <w:t xml:space="preserve">6.750% Notes due 2030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left"/>
        <w:rPr>
          <w:rFonts w:ascii="Times New Roman" w:hAnsi="Times New Roman"/>
          <w:sz w:val="14"/>
        </w:rPr>
      </w:pPr>
      <w:r>
        <w:rPr>
          <w:rFonts w:ascii="Times New Roman" w:hAnsi="Times New Roman"/>
          <w:sz w:val="14"/>
        </w:rPr>
        <w:t xml:space="preserve">We are an externally managed, closed-end, non-diversified management investment company that has elected to be regulated as a business development company (“BDC”) under the Investment Company Act of 1940, as amended (the “1940 Act”). Our investment objective is to provide attractive risk-adjusted returns by generating both current income from our debt investments and capital appreciation from our equity related investments. Our investment strategy includes partnering with business owners, management teams and financial sponsors by providing customized financing for ownership transactions, recapitalizations, strategic acquisitions, business expansion and other growth initiatives. We seek to maintain a diversified portfolio of investments in order to help mitigate the potential effects of adverse economic events related to particular companies, regions or industries. We generally invest in securities that would be rated below investment grade if they were rated by rating agencies. Below investment grade securities, which are often referred to as “high yield” or “junk,” have speculative characteristics with respect to the issuer’s capacity to pay interest and repay principal. Fidus Investment Advisors, LLC serves as our investment adviser and as our administrator. </w:t>
      </w:r>
    </w:p>
    <w:p>
      <w:pPr>
        <w:pStyle w:val="TextBody"/>
        <w:bidi w:val="0"/>
        <w:spacing w:before="80" w:after="0"/>
        <w:jc w:val="left"/>
        <w:rPr>
          <w:rFonts w:ascii="Times New Roman" w:hAnsi="Times New Roman"/>
          <w:spacing w:val="0"/>
          <w:sz w:val="14"/>
        </w:rPr>
      </w:pPr>
      <w:r>
        <w:rPr>
          <w:rFonts w:ascii="Times New Roman" w:hAnsi="Times New Roman"/>
          <w:spacing w:val="0"/>
          <w:sz w:val="14"/>
        </w:rPr>
        <w:t xml:space="preserve">We are offering $100.0 million in aggregate principal amount of 6.750% notes due 2030 (the “Notes”). The Notes will mature on March 19, 2030. We pay interest on the Notes on March 19 and September 19 of each year. The Notes offered hereby are a further issuance of the 6.750% notes due 2030 that we issued on March 19, 2025 in the aggregate principal amount of $100.0 million (the “Existing Notes”). The Notes offered hereby will be treated as a single series with the Existing Notes under the indenture and will have the same terms as the Existing Notes (except the issue date, the offering price and the initial interest payment date). The Notes offered hereby will have the same CUSIP number and will be fungible and rank equally with the Existing Notes. Upon the issuance of the Notes offered hereby, the outstanding aggregate principal amount of our 6.750% notes due 2030 will be $200.0 million. Unless the context otherwise requires, references herein to the “Notes” include the Notes offered hereby and the Existing Notes. </w:t>
      </w:r>
    </w:p>
    <w:p>
      <w:pPr>
        <w:pStyle w:val="TextBody"/>
        <w:bidi w:val="0"/>
        <w:spacing w:before="80" w:after="0"/>
        <w:jc w:val="left"/>
        <w:rPr>
          <w:rFonts w:ascii="Times New Roman" w:hAnsi="Times New Roman"/>
          <w:sz w:val="14"/>
        </w:rPr>
      </w:pPr>
      <w:r>
        <w:rPr>
          <w:rFonts w:ascii="Times New Roman" w:hAnsi="Times New Roman"/>
          <w:sz w:val="14"/>
        </w:rPr>
        <w:t>We may redeem the Notes in whole or in part at any time or from time to time, at the redemption price set forth under the section titled “</w:t>
      </w:r>
    </w:p>
    <w:p>
      <w:pPr>
        <w:pStyle w:val="TextBody"/>
        <w:bidi w:val="0"/>
        <w:spacing w:before="80" w:after="0"/>
        <w:jc w:val="left"/>
        <w:rPr>
          <w:rFonts w:ascii="Times New Roman" w:hAnsi="Times New Roman"/>
          <w:i/>
          <w:caps w:val="false"/>
          <w:smallCaps w:val="false"/>
          <w:spacing w:val="0"/>
          <w:sz w:val="14"/>
        </w:rPr>
      </w:pPr>
      <w:r>
        <w:rPr>
          <w:rFonts w:ascii="Times New Roman" w:hAnsi="Times New Roman"/>
          <w:i/>
          <w:caps w:val="false"/>
          <w:smallCaps w:val="false"/>
          <w:spacing w:val="0"/>
          <w:sz w:val="14"/>
        </w:rPr>
        <w:t>Description of the Notes—Optional Redemption</w:t>
      </w:r>
    </w:p>
    <w:p>
      <w:pPr>
        <w:pStyle w:val="TextBody"/>
        <w:bidi w:val="0"/>
        <w:spacing w:before="80" w:after="0"/>
        <w:jc w:val="left"/>
        <w:rPr/>
      </w:pPr>
      <w:r>
        <w:rPr/>
        <w:t xml:space="preserve">” </w:t>
      </w:r>
      <w:r>
        <w:rPr>
          <w:rFonts w:ascii="Times New Roman" w:hAnsi="Times New Roman"/>
          <w:sz w:val="14"/>
        </w:rPr>
        <w:t xml:space="preserve">in this prospectus supplement. In addition, holders of the Notes can require us to repurchase some or all of the Notes at a purchase price equal to 100% of their principal amount, plus accrued and unpaid interest to, but not including, the repurchase date, upon the occurrence of a Change of Control Repurchase Event (as defined herein). The Notes will be issued in minimum denominations of $2,000 and integral multiples of $1,000 in excess thereof. </w:t>
      </w:r>
    </w:p>
    <w:p>
      <w:pPr>
        <w:pStyle w:val="TextBody"/>
        <w:bidi w:val="0"/>
        <w:spacing w:before="80" w:after="0"/>
        <w:jc w:val="left"/>
        <w:rPr>
          <w:rFonts w:ascii="Times New Roman" w:hAnsi="Times New Roman"/>
          <w:spacing w:val="0"/>
          <w:sz w:val="14"/>
        </w:rPr>
      </w:pPr>
      <w:r>
        <w:rPr>
          <w:rFonts w:ascii="Times New Roman" w:hAnsi="Times New Roman"/>
          <w:spacing w:val="0"/>
          <w:sz w:val="14"/>
        </w:rPr>
        <w:t xml:space="preserve">The Notes are our direct unsecured obligations and rank equal in right of payment with all outstanding and future unsecured, unsubordinated indebtedness issued by us. Because the Notes are not secured by any of our assets, they are effectively subordinated to all of our existing and future secured indebtedness (or any indebtedness that is initially unsecured as to which we subsequently grant a security interest) to the extent of the value of the assets securing such indebtedness. The Notes are structurally subordinated to all existing and future indebtedness and other obligations of any of our subsidiaries because the Notes are obligations exclusively of Fidus Investment Corporation and not of any of our subsidiaries. The Notes are senior in right of payment to any future outstanding series of our preferred stock. None of our subsidiaries is a guarantor of the Notes and the Notes are not required to be guaranteed by any subsidiary we may acquire or create in the future. As of September 30, 2025, we had $543.8 million of debt outstanding, of which $528.8 million was unsecured and unsubordinated indebtedness and $15.0 million was secured indebtedness. None of our current indebtedness is subordinated to the Notes. </w:t>
      </w:r>
    </w:p>
    <w:p>
      <w:pPr>
        <w:pStyle w:val="TextBody"/>
        <w:bidi w:val="0"/>
        <w:spacing w:before="80" w:after="0"/>
        <w:jc w:val="left"/>
        <w:rPr>
          <w:rFonts w:ascii="Times New Roman" w:hAnsi="Times New Roman"/>
          <w:spacing w:val="0"/>
          <w:sz w:val="14"/>
        </w:rPr>
      </w:pPr>
      <w:r>
        <w:rPr>
          <w:rFonts w:ascii="Times New Roman" w:hAnsi="Times New Roman"/>
          <w:spacing w:val="0"/>
          <w:sz w:val="14"/>
        </w:rPr>
        <w:t xml:space="preserve">We do not intend to apply for listing of the Notes on any securities exchange or automated dealer quotation system. </w:t>
      </w:r>
    </w:p>
    <w:p>
      <w:pPr>
        <w:pStyle w:val="TextBody"/>
        <w:bidi w:val="0"/>
        <w:spacing w:before="80" w:after="0"/>
        <w:jc w:val="left"/>
        <w:rPr>
          <w:rFonts w:ascii="Times New Roman" w:hAnsi="Times New Roman"/>
          <w:sz w:val="14"/>
        </w:rPr>
      </w:pPr>
      <w:r>
        <w:rPr>
          <w:rFonts w:ascii="Times New Roman" w:hAnsi="Times New Roman"/>
          <w:sz w:val="14"/>
        </w:rPr>
        <w:t xml:space="preserve">This prospectus supplement, the accompanying prospectus, any free writing prospectus, and the information incorporated by reference in this prospectus supplement and the accompanying prospectus contain important information you should know before investing in the Notes, including information about risks. Please read these documents before you invest and retain them for future reference. Additional information about us, including our annual, quarterly and current reports and proxy statements, has been filed with the Securities and Exchange Commission (the “SEC”), and can be accessed free of charge at its website at </w:t>
      </w:r>
    </w:p>
    <w:p>
      <w:pPr>
        <w:pStyle w:val="TextBody"/>
        <w:bidi w:val="0"/>
        <w:spacing w:before="80" w:after="0"/>
        <w:jc w:val="left"/>
        <w:rPr>
          <w:rFonts w:ascii="Times New Roman" w:hAnsi="Times New Roman"/>
          <w:i/>
          <w:caps w:val="false"/>
          <w:smallCaps w:val="false"/>
          <w:spacing w:val="0"/>
          <w:sz w:val="14"/>
        </w:rPr>
      </w:pPr>
      <w:r>
        <w:rPr>
          <w:rFonts w:ascii="Times New Roman" w:hAnsi="Times New Roman"/>
          <w:i/>
          <w:caps w:val="false"/>
          <w:smallCaps w:val="false"/>
          <w:spacing w:val="0"/>
          <w:sz w:val="14"/>
        </w:rPr>
        <w:t>www.sec.gov</w:t>
      </w:r>
    </w:p>
    <w:p>
      <w:pPr>
        <w:pStyle w:val="TextBody"/>
        <w:bidi w:val="0"/>
        <w:spacing w:before="80" w:after="0"/>
        <w:jc w:val="left"/>
        <w:rPr>
          <w:rFonts w:ascii="Times New Roman" w:hAnsi="Times New Roman"/>
          <w:sz w:val="14"/>
        </w:rPr>
      </w:pPr>
      <w:r>
        <w:rPr>
          <w:rFonts w:ascii="Times New Roman" w:hAnsi="Times New Roman"/>
          <w:sz w:val="14"/>
        </w:rPr>
        <w:t xml:space="preserve">. This information is also available free of charge by contacting us at 1603 Orrington Avenue, Suite 1005, Evanston, Illinois 60201, Attention: Investor Relations, or by calling us at (847) 859-3940 or on our website at </w:t>
      </w:r>
    </w:p>
    <w:p>
      <w:pPr>
        <w:pStyle w:val="TextBody"/>
        <w:bidi w:val="0"/>
        <w:spacing w:before="80" w:after="0"/>
        <w:jc w:val="left"/>
        <w:rPr>
          <w:rFonts w:ascii="Times New Roman" w:hAnsi="Times New Roman"/>
          <w:i/>
          <w:caps w:val="false"/>
          <w:smallCaps w:val="false"/>
          <w:spacing w:val="0"/>
          <w:sz w:val="14"/>
        </w:rPr>
      </w:pPr>
      <w:r>
        <w:rPr>
          <w:rFonts w:ascii="Times New Roman" w:hAnsi="Times New Roman"/>
          <w:i/>
          <w:caps w:val="false"/>
          <w:smallCaps w:val="false"/>
          <w:spacing w:val="0"/>
          <w:sz w:val="14"/>
        </w:rPr>
        <w:t>www.fdus.com</w:t>
      </w:r>
    </w:p>
    <w:p>
      <w:pPr>
        <w:pStyle w:val="TextBody"/>
        <w:bidi w:val="0"/>
        <w:spacing w:before="80" w:after="0"/>
        <w:jc w:val="left"/>
        <w:rPr>
          <w:rFonts w:ascii="Times New Roman" w:hAnsi="Times New Roman"/>
          <w:sz w:val="14"/>
        </w:rPr>
      </w:pPr>
      <w:r>
        <w:rPr>
          <w:rFonts w:ascii="Times New Roman" w:hAnsi="Times New Roman"/>
          <w:sz w:val="14"/>
        </w:rPr>
        <w:t>, which, except for the documents incorporated by reference into this prospectus supplement and the accompanying prospectus, is not incorporated by reference into this prospectus supplement and the accompanying prospectus and you should not consider that information to be part of this prospectus supplement nor the accompanying prospectus. See “</w:t>
      </w:r>
    </w:p>
    <w:p>
      <w:pPr>
        <w:pStyle w:val="TextBody"/>
        <w:bidi w:val="0"/>
        <w:spacing w:before="80" w:after="0"/>
        <w:jc w:val="left"/>
        <w:rPr>
          <w:rFonts w:ascii="Times New Roman" w:hAnsi="Times New Roman"/>
          <w:i/>
          <w:caps w:val="false"/>
          <w:smallCaps w:val="false"/>
          <w:spacing w:val="0"/>
          <w:sz w:val="14"/>
        </w:rPr>
      </w:pPr>
      <w:r>
        <w:rPr>
          <w:rFonts w:ascii="Times New Roman" w:hAnsi="Times New Roman"/>
          <w:i/>
          <w:caps w:val="false"/>
          <w:smallCaps w:val="false"/>
          <w:spacing w:val="0"/>
          <w:sz w:val="14"/>
        </w:rPr>
        <w:t>Available Information</w:t>
      </w:r>
    </w:p>
    <w:p>
      <w:pPr>
        <w:pStyle w:val="TextBody"/>
        <w:bidi w:val="0"/>
        <w:spacing w:before="80" w:after="0"/>
        <w:jc w:val="left"/>
        <w:rPr/>
      </w:pPr>
      <w:r>
        <w:rPr/>
        <w:t xml:space="preserve">” </w:t>
      </w:r>
      <w:r>
        <w:rPr>
          <w:rFonts w:ascii="Times New Roman" w:hAnsi="Times New Roman"/>
          <w:sz w:val="14"/>
        </w:rPr>
        <w:t xml:space="preserve">on page 91 of the accompanying prospectus. </w:t>
      </w:r>
    </w:p>
    <w:p>
      <w:pPr>
        <w:pStyle w:val="TextBody"/>
        <w:bidi w:val="0"/>
        <w:spacing w:before="80" w:after="0"/>
        <w:jc w:val="left"/>
        <w:rPr/>
      </w:pPr>
      <w:r>
        <w:rPr>
          <w:rFonts w:ascii="Times New Roman" w:hAnsi="Times New Roman"/>
          <w:b/>
          <w:spacing w:val="0"/>
          <w:sz w:val="14"/>
        </w:rPr>
        <w:t>Investing in the Notes involves a high degree of risk, including the risk of leverage. Before buying any Notes, you should read the material risks described in the “</w:t>
      </w:r>
      <w:hyperlink w:anchor="supptoc29698_4">
        <w:r>
          <w:rPr>
            <w:rStyle w:val="InternetLink"/>
            <w:rFonts w:ascii="Times New Roman" w:hAnsi="Times New Roman"/>
            <w:b/>
            <w:spacing w:val="0"/>
            <w:sz w:val="14"/>
          </w:rPr>
          <w:t>Supplementary Risk Factors</w:t>
        </w:r>
      </w:hyperlink>
      <w:r>
        <w:rPr>
          <w:rFonts w:ascii="Times New Roman" w:hAnsi="Times New Roman"/>
          <w:b/>
          <w:spacing w:val="0"/>
          <w:sz w:val="14"/>
        </w:rPr>
        <w:t>” section beginning on page S-10 of this prospectus supplement and “</w:t>
      </w:r>
      <w:hyperlink w:anchor="toc29698_4">
        <w:r>
          <w:rPr>
            <w:rStyle w:val="InternetLink"/>
            <w:rFonts w:ascii="Times New Roman" w:hAnsi="Times New Roman"/>
            <w:b/>
            <w:spacing w:val="0"/>
            <w:sz w:val="14"/>
          </w:rPr>
          <w:t>Risk Factors</w:t>
        </w:r>
      </w:hyperlink>
      <w:r>
        <w:rPr>
          <w:rFonts w:ascii="Times New Roman" w:hAnsi="Times New Roman"/>
          <w:b/>
          <w:spacing w:val="0"/>
          <w:sz w:val="14"/>
        </w:rPr>
        <w:t xml:space="preserve">” on page 11 of the accompanying prospectus and in our most recent Annual Report on Form 10-K, as well as any of our subsequent SEC filings. </w:t>
      </w:r>
    </w:p>
    <w:p>
      <w:pPr>
        <w:pStyle w:val="TextBody"/>
        <w:bidi w:val="0"/>
        <w:spacing w:before="80" w:after="0"/>
        <w:jc w:val="left"/>
        <w:rPr>
          <w:rFonts w:ascii="Times New Roman" w:hAnsi="Times New Roman"/>
          <w:b/>
          <w:spacing w:val="0"/>
          <w:sz w:val="14"/>
        </w:rPr>
      </w:pPr>
      <w:r>
        <w:rPr>
          <w:rFonts w:ascii="Times New Roman" w:hAnsi="Times New Roman"/>
          <w:b/>
          <w:spacing w:val="0"/>
          <w:sz w:val="14"/>
        </w:rPr>
        <w:t>THE NOTES ARE NOT DEPOSITS OR OTHER OBLIGATIONS OF A BANK AND ARE NOT INSURED BY THE FEDERAL DEPOSIT INS</w:t>
      </w:r>
    </w:p>
    <w:p>
      <w:pPr>
        <w:pStyle w:val="TextBody"/>
        <w:bidi w:val="0"/>
        <w:spacing w:before="80" w:after="0"/>
        <w:jc w:val="left"/>
        <w:rPr>
          <w:rFonts w:ascii="Times New Roman" w:hAnsi="Times New Roman"/>
          <w:b/>
          <w:spacing w:val="0"/>
          <w:sz w:val="14"/>
        </w:rPr>
      </w:pPr>
      <w:r>
        <w:rPr>
          <w:rFonts w:ascii="Times New Roman" w:hAnsi="Times New Roman"/>
          <w:b/>
          <w:spacing w:val="0"/>
          <w:sz w:val="14"/>
        </w:rPr>
        <w:t>URA</w:t>
      </w:r>
    </w:p>
    <w:p>
      <w:pPr>
        <w:pStyle w:val="TextBody"/>
        <w:bidi w:val="0"/>
        <w:spacing w:before="80" w:after="0"/>
        <w:jc w:val="left"/>
        <w:rPr>
          <w:rFonts w:ascii="Times New Roman" w:hAnsi="Times New Roman"/>
          <w:b/>
          <w:spacing w:val="0"/>
          <w:sz w:val="14"/>
        </w:rPr>
      </w:pPr>
      <w:r>
        <w:rPr>
          <w:rFonts w:ascii="Times New Roman" w:hAnsi="Times New Roman"/>
          <w:b/>
          <w:spacing w:val="0"/>
          <w:sz w:val="14"/>
        </w:rPr>
        <w:t xml:space="preserve">NCE CORPORATION OR ANY OTHER GOVERNMENT AGENCY.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center"/>
        <w:rPr/>
      </w:pPr>
      <w:r>
        <w:rPr/>
        <w:t> </w:t>
      </w:r>
    </w:p>
    <w:p>
      <w:pPr>
        <w:pStyle w:val="TextBody"/>
        <w:bidi w:val="0"/>
        <w:spacing w:before="80" w:after="0"/>
        <w:jc w:val="left"/>
        <w:rPr>
          <w:rFonts w:ascii="Times New Roman" w:hAnsi="Times New Roman"/>
          <w:b/>
          <w:spacing w:val="0"/>
          <w:sz w:val="14"/>
        </w:rPr>
      </w:pPr>
      <w:r>
        <w:rPr>
          <w:rFonts w:ascii="Times New Roman" w:hAnsi="Times New Roman"/>
          <w:b/>
          <w:spacing w:val="0"/>
          <w:sz w:val="14"/>
        </w:rPr>
        <w:t xml:space="preserve">Neither the SEC nor any state securities commission, nor any other regulatory body, has approved or disapproved of these securities or determined if this prospectus supplement or the accompanying prospectus is truthful or complete. Any representation to the contrary is a criminal offense. </w:t>
      </w:r>
    </w:p>
    <w:p>
      <w:pPr>
        <w:pStyle w:val="TextBody"/>
        <w:bidi w:val="0"/>
        <w:spacing w:before="0" w:after="0"/>
        <w:ind w:left="0" w:right="0" w:hanging="0"/>
        <w:jc w:val="left"/>
        <w:rPr>
          <w:spacing w:val="0"/>
        </w:rPr>
      </w:pPr>
      <w:r>
        <w:rPr>
          <w:spacing w:val="0"/>
        </w:rPr>
        <w:t> </w:t>
      </w:r>
    </w:p>
    <w:tbl>
      <w:tblPr>
        <w:tblW w:w="5305" w:type="dxa"/>
        <w:jc w:val="left"/>
        <w:tblInd w:w="0" w:type="dxa"/>
        <w:tblLayout w:type="fixed"/>
        <w:tblCellMar>
          <w:top w:w="0" w:type="dxa"/>
          <w:left w:w="0" w:type="dxa"/>
          <w:bottom w:w="0" w:type="dxa"/>
          <w:right w:w="0" w:type="dxa"/>
        </w:tblCellMar>
      </w:tblPr>
      <w:tblGrid>
        <w:gridCol w:w="2495"/>
        <w:gridCol w:w="120"/>
        <w:gridCol w:w="64"/>
        <w:gridCol w:w="856"/>
        <w:gridCol w:w="275"/>
        <w:gridCol w:w="60"/>
        <w:gridCol w:w="140"/>
        <w:gridCol w:w="1220"/>
        <w:gridCol w:w="75"/>
      </w:tblGrid>
      <w:tr>
        <w:trPr/>
        <w:tc>
          <w:tcPr>
            <w:tcW w:w="24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49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920" w:type="dxa"/>
            <w:gridSpan w:val="2"/>
            <w:tcBorders/>
            <w:vAlign w:val="center"/>
          </w:tcPr>
          <w:p>
            <w:pPr>
              <w:pStyle w:val="TableContents"/>
              <w:bidi w:val="0"/>
              <w:spacing w:before="0" w:after="0"/>
              <w:jc w:val="center"/>
              <w:rPr>
                <w:b/>
                <w:spacing w:val="0"/>
              </w:rPr>
            </w:pPr>
            <w:r>
              <w:rPr>
                <w:b/>
                <w:spacing w:val="0"/>
              </w:rPr>
              <w:t>Per Note</w:t>
            </w:r>
          </w:p>
        </w:tc>
        <w:tc>
          <w:tcPr>
            <w:tcW w:w="27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360" w:type="dxa"/>
            <w:gridSpan w:val="2"/>
            <w:tcBorders/>
            <w:vAlign w:val="center"/>
          </w:tcPr>
          <w:p>
            <w:pPr>
              <w:pStyle w:val="TableContents"/>
              <w:bidi w:val="0"/>
              <w:spacing w:before="0" w:after="0"/>
              <w:jc w:val="center"/>
              <w:rPr>
                <w:b/>
                <w:spacing w:val="0"/>
              </w:rPr>
            </w:pPr>
            <w:r>
              <w:rPr>
                <w:b/>
                <w:spacing w:val="0"/>
              </w:rPr>
              <w:t>Total</w:t>
            </w:r>
          </w:p>
        </w:tc>
        <w:tc>
          <w:tcPr>
            <w:tcW w:w="75" w:type="dxa"/>
            <w:tcBorders/>
            <w:vAlign w:val="center"/>
          </w:tcPr>
          <w:p>
            <w:pPr>
              <w:pStyle w:val="TableContents"/>
              <w:bidi w:val="0"/>
              <w:spacing w:before="0" w:after="0"/>
              <w:jc w:val="left"/>
              <w:rPr/>
            </w:pPr>
            <w:r>
              <w:rPr/>
              <w:t> </w:t>
            </w:r>
          </w:p>
        </w:tc>
      </w:tr>
      <w:tr>
        <w:trPr/>
        <w:tc>
          <w:tcPr>
            <w:tcW w:w="2495" w:type="dxa"/>
            <w:tcBorders/>
            <w:shd w:fill="CCEEFF" w:val="clear"/>
            <w:vAlign w:val="center"/>
          </w:tcPr>
          <w:p>
            <w:pPr>
              <w:pStyle w:val="TableContents"/>
              <w:bidi w:val="0"/>
              <w:spacing w:before="0" w:after="0"/>
              <w:jc w:val="left"/>
              <w:rPr>
                <w:rFonts w:ascii="Times New Roman" w:hAnsi="Times New Roman"/>
                <w:spacing w:val="0"/>
                <w:sz w:val="14"/>
              </w:rPr>
            </w:pPr>
            <w:r>
              <w:rPr>
                <w:rFonts w:ascii="Times New Roman" w:hAnsi="Times New Roman"/>
                <w:spacing w:val="0"/>
                <w:sz w:val="14"/>
              </w:rPr>
              <w:t>Public offering price(1)</w:t>
            </w:r>
          </w:p>
        </w:tc>
        <w:tc>
          <w:tcPr>
            <w:tcW w:w="120" w:type="dxa"/>
            <w:tcBorders/>
            <w:shd w:fill="CCEEFF" w:val="clear"/>
            <w:vAlign w:val="center"/>
          </w:tcPr>
          <w:p>
            <w:pPr>
              <w:pStyle w:val="TableContents"/>
              <w:bidi w:val="0"/>
              <w:spacing w:before="0" w:after="0"/>
              <w:jc w:val="left"/>
              <w:rPr/>
            </w:pPr>
            <w:r>
              <w:rPr/>
              <w:t>  </w:t>
            </w:r>
          </w:p>
        </w:tc>
        <w:tc>
          <w:tcPr>
            <w:tcW w:w="64" w:type="dxa"/>
            <w:tcBorders/>
            <w:shd w:fill="CCEEFF" w:val="clear"/>
            <w:vAlign w:val="center"/>
          </w:tcPr>
          <w:p>
            <w:pPr>
              <w:pStyle w:val="TableContents"/>
              <w:bidi w:val="0"/>
              <w:spacing w:before="0" w:after="0"/>
              <w:jc w:val="left"/>
              <w:rPr/>
            </w:pPr>
            <w:r>
              <w:rPr/>
              <w:t> </w:t>
            </w:r>
          </w:p>
        </w:tc>
        <w:tc>
          <w:tcPr>
            <w:tcW w:w="856" w:type="dxa"/>
            <w:tcBorders/>
            <w:shd w:fill="CCEEFF" w:val="clear"/>
            <w:vAlign w:val="center"/>
          </w:tcPr>
          <w:p>
            <w:pPr>
              <w:pStyle w:val="TableContents"/>
              <w:bidi w:val="0"/>
              <w:spacing w:before="0" w:after="0"/>
              <w:jc w:val="right"/>
              <w:rPr/>
            </w:pPr>
            <w:r>
              <w:rPr/>
              <w:t>100.705</w:t>
            </w:r>
          </w:p>
        </w:tc>
        <w:tc>
          <w:tcPr>
            <w:tcW w:w="27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w:t>
            </w:r>
          </w:p>
        </w:tc>
        <w:tc>
          <w:tcPr>
            <w:tcW w:w="1220" w:type="dxa"/>
            <w:tcBorders/>
            <w:shd w:fill="CCEEFF" w:val="clear"/>
            <w:vAlign w:val="center"/>
          </w:tcPr>
          <w:p>
            <w:pPr>
              <w:pStyle w:val="TableContents"/>
              <w:bidi w:val="0"/>
              <w:spacing w:before="0" w:after="0"/>
              <w:jc w:val="right"/>
              <w:rPr/>
            </w:pPr>
            <w:r>
              <w:rPr/>
              <w:t>100,705,000</w:t>
            </w:r>
          </w:p>
        </w:tc>
        <w:tc>
          <w:tcPr>
            <w:tcW w:w="75" w:type="dxa"/>
            <w:tcBorders/>
            <w:shd w:fill="CCEEFF" w:val="clear"/>
            <w:vAlign w:val="center"/>
          </w:tcPr>
          <w:p>
            <w:pPr>
              <w:pStyle w:val="TableContents"/>
              <w:bidi w:val="0"/>
              <w:spacing w:before="0" w:after="0"/>
              <w:jc w:val="left"/>
              <w:rPr/>
            </w:pPr>
            <w:r>
              <w:rPr/>
              <w:t> </w:t>
            </w:r>
          </w:p>
        </w:tc>
      </w:tr>
      <w:tr>
        <w:trPr/>
        <w:tc>
          <w:tcPr>
            <w:tcW w:w="2495" w:type="dxa"/>
            <w:tcBorders/>
            <w:vAlign w:val="center"/>
          </w:tcPr>
          <w:p>
            <w:pPr>
              <w:pStyle w:val="TableContents"/>
              <w:bidi w:val="0"/>
              <w:spacing w:before="0" w:after="0"/>
              <w:jc w:val="left"/>
              <w:rPr>
                <w:rFonts w:ascii="Times New Roman" w:hAnsi="Times New Roman"/>
                <w:spacing w:val="0"/>
                <w:sz w:val="14"/>
              </w:rPr>
            </w:pPr>
            <w:r>
              <w:rPr>
                <w:rFonts w:ascii="Times New Roman" w:hAnsi="Times New Roman"/>
                <w:spacing w:val="0"/>
                <w:sz w:val="14"/>
              </w:rPr>
              <w:t>Underwriting discount (sales load)</w:t>
            </w:r>
          </w:p>
        </w:tc>
        <w:tc>
          <w:tcPr>
            <w:tcW w:w="120" w:type="dxa"/>
            <w:tcBorders/>
            <w:vAlign w:val="center"/>
          </w:tcPr>
          <w:p>
            <w:pPr>
              <w:pStyle w:val="TableContents"/>
              <w:bidi w:val="0"/>
              <w:spacing w:before="0" w:after="0"/>
              <w:jc w:val="left"/>
              <w:rPr/>
            </w:pPr>
            <w:r>
              <w:rPr/>
              <w:t>  </w:t>
            </w:r>
          </w:p>
        </w:tc>
        <w:tc>
          <w:tcPr>
            <w:tcW w:w="64" w:type="dxa"/>
            <w:tcBorders/>
            <w:vAlign w:val="center"/>
          </w:tcPr>
          <w:p>
            <w:pPr>
              <w:pStyle w:val="TableContents"/>
              <w:bidi w:val="0"/>
              <w:spacing w:before="0" w:after="0"/>
              <w:jc w:val="left"/>
              <w:rPr/>
            </w:pPr>
            <w:r>
              <w:rPr/>
              <w:t> </w:t>
            </w:r>
          </w:p>
        </w:tc>
        <w:tc>
          <w:tcPr>
            <w:tcW w:w="856" w:type="dxa"/>
            <w:tcBorders/>
            <w:vAlign w:val="center"/>
          </w:tcPr>
          <w:p>
            <w:pPr>
              <w:pStyle w:val="TableContents"/>
              <w:bidi w:val="0"/>
              <w:spacing w:before="0" w:after="0"/>
              <w:jc w:val="right"/>
              <w:rPr/>
            </w:pPr>
            <w:r>
              <w:rPr/>
              <w:t>1.500</w:t>
            </w:r>
          </w:p>
        </w:tc>
        <w:tc>
          <w:tcPr>
            <w:tcW w:w="27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w:t>
            </w:r>
          </w:p>
        </w:tc>
        <w:tc>
          <w:tcPr>
            <w:tcW w:w="1220" w:type="dxa"/>
            <w:tcBorders/>
            <w:vAlign w:val="center"/>
          </w:tcPr>
          <w:p>
            <w:pPr>
              <w:pStyle w:val="TableContents"/>
              <w:bidi w:val="0"/>
              <w:spacing w:before="0" w:after="0"/>
              <w:jc w:val="right"/>
              <w:rPr/>
            </w:pPr>
            <w:r>
              <w:rPr/>
              <w:t>1,500,000</w:t>
            </w:r>
          </w:p>
        </w:tc>
        <w:tc>
          <w:tcPr>
            <w:tcW w:w="75" w:type="dxa"/>
            <w:tcBorders/>
            <w:vAlign w:val="center"/>
          </w:tcPr>
          <w:p>
            <w:pPr>
              <w:pStyle w:val="TableContents"/>
              <w:bidi w:val="0"/>
              <w:spacing w:before="0" w:after="0"/>
              <w:jc w:val="left"/>
              <w:rPr/>
            </w:pPr>
            <w:r>
              <w:rPr/>
              <w:t> </w:t>
            </w:r>
          </w:p>
        </w:tc>
      </w:tr>
      <w:tr>
        <w:trPr/>
        <w:tc>
          <w:tcPr>
            <w:tcW w:w="2495" w:type="dxa"/>
            <w:tcBorders/>
            <w:shd w:fill="CCEEFF" w:val="clear"/>
            <w:vAlign w:val="center"/>
          </w:tcPr>
          <w:p>
            <w:pPr>
              <w:pStyle w:val="TableContents"/>
              <w:bidi w:val="0"/>
              <w:spacing w:before="0" w:after="0"/>
              <w:jc w:val="left"/>
              <w:rPr>
                <w:rFonts w:ascii="Times New Roman" w:hAnsi="Times New Roman"/>
                <w:spacing w:val="0"/>
                <w:sz w:val="14"/>
              </w:rPr>
            </w:pPr>
            <w:r>
              <w:rPr>
                <w:rFonts w:ascii="Times New Roman" w:hAnsi="Times New Roman"/>
                <w:spacing w:val="0"/>
                <w:sz w:val="14"/>
              </w:rPr>
              <w:t>Proceeds, before offering expenses to us(2)</w:t>
            </w:r>
          </w:p>
        </w:tc>
        <w:tc>
          <w:tcPr>
            <w:tcW w:w="120" w:type="dxa"/>
            <w:tcBorders/>
            <w:shd w:fill="CCEEFF" w:val="clear"/>
            <w:vAlign w:val="center"/>
          </w:tcPr>
          <w:p>
            <w:pPr>
              <w:pStyle w:val="TableContents"/>
              <w:bidi w:val="0"/>
              <w:spacing w:before="0" w:after="0"/>
              <w:jc w:val="left"/>
              <w:rPr/>
            </w:pPr>
            <w:r>
              <w:rPr/>
              <w:t>  </w:t>
            </w:r>
          </w:p>
        </w:tc>
        <w:tc>
          <w:tcPr>
            <w:tcW w:w="64" w:type="dxa"/>
            <w:tcBorders/>
            <w:shd w:fill="CCEEFF" w:val="clear"/>
            <w:vAlign w:val="center"/>
          </w:tcPr>
          <w:p>
            <w:pPr>
              <w:pStyle w:val="TableContents"/>
              <w:bidi w:val="0"/>
              <w:spacing w:before="0" w:after="0"/>
              <w:jc w:val="left"/>
              <w:rPr/>
            </w:pPr>
            <w:r>
              <w:rPr/>
              <w:t> </w:t>
            </w:r>
          </w:p>
        </w:tc>
        <w:tc>
          <w:tcPr>
            <w:tcW w:w="856" w:type="dxa"/>
            <w:tcBorders/>
            <w:shd w:fill="CCEEFF" w:val="clear"/>
            <w:vAlign w:val="center"/>
          </w:tcPr>
          <w:p>
            <w:pPr>
              <w:pStyle w:val="TableContents"/>
              <w:bidi w:val="0"/>
              <w:spacing w:before="0" w:after="0"/>
              <w:jc w:val="right"/>
              <w:rPr/>
            </w:pPr>
            <w:r>
              <w:rPr/>
              <w:t>99.205</w:t>
            </w:r>
          </w:p>
        </w:tc>
        <w:tc>
          <w:tcPr>
            <w:tcW w:w="27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w:t>
            </w:r>
          </w:p>
        </w:tc>
        <w:tc>
          <w:tcPr>
            <w:tcW w:w="1220" w:type="dxa"/>
            <w:tcBorders/>
            <w:shd w:fill="CCEEFF" w:val="clear"/>
            <w:vAlign w:val="center"/>
          </w:tcPr>
          <w:p>
            <w:pPr>
              <w:pStyle w:val="TableContents"/>
              <w:bidi w:val="0"/>
              <w:spacing w:before="0" w:after="0"/>
              <w:jc w:val="right"/>
              <w:rPr/>
            </w:pPr>
            <w:r>
              <w:rPr/>
              <w:t>99,205,000</w:t>
            </w:r>
          </w:p>
        </w:tc>
        <w:tc>
          <w:tcPr>
            <w:tcW w:w="75" w:type="dxa"/>
            <w:tcBorders/>
            <w:shd w:fill="CCEEFF" w:val="clear"/>
            <w:vAlign w:val="center"/>
          </w:tcPr>
          <w:p>
            <w:pPr>
              <w:pStyle w:val="TableContents"/>
              <w:bidi w:val="0"/>
              <w:spacing w:before="0" w:after="0"/>
              <w:jc w:val="left"/>
              <w:rPr/>
            </w:pPr>
            <w:r>
              <w:rPr/>
              <w:t> </w:t>
            </w:r>
          </w:p>
        </w:tc>
      </w:tr>
    </w:tbl>
    <w:p>
      <w:pPr>
        <w:pStyle w:val="TextBody"/>
        <w:bidi w:val="0"/>
        <w:spacing w:lineRule="atLeast" w:line="160" w:before="0" w:after="4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0"/>
              <w:jc w:val="left"/>
              <w:rPr/>
            </w:pPr>
            <w:r>
              <w:rPr/>
              <w:t>(1)</w:t>
            </w:r>
          </w:p>
        </w:tc>
        <w:tc>
          <w:tcPr>
            <w:tcW w:w="9953" w:type="dxa"/>
            <w:tcBorders/>
            <w:vAlign w:val="center"/>
          </w:tcPr>
          <w:p>
            <w:pPr>
              <w:pStyle w:val="TableContents"/>
              <w:bidi w:val="0"/>
              <w:spacing w:before="0" w:after="0"/>
              <w:jc w:val="left"/>
              <w:rPr>
                <w:rFonts w:ascii="Times New Roman" w:hAnsi="Times New Roman"/>
                <w:spacing w:val="0"/>
                <w:sz w:val="14"/>
              </w:rPr>
            </w:pPr>
            <w:r>
              <w:rPr>
                <w:rFonts w:ascii="Times New Roman" w:hAnsi="Times New Roman"/>
                <w:spacing w:val="0"/>
                <w:sz w:val="14"/>
              </w:rPr>
              <w:t xml:space="preserve">The public offering price set forth above does not include accrued and unpaid interest of $262,500 in the aggregate from and including September 19, 2025 up to, but not including, the date of delivery set forth below, which will be paid by the purchasers of the Notes offered hereby. On March 19, 2026, we will pay this pre-issuance accrued interest to the holders of the Notes offered hereby as of the applicable record date along with the interest accrued on the Notes offered hereby from the date of delivery to such interest payment date. </w:t>
            </w:r>
          </w:p>
        </w:tc>
      </w:tr>
    </w:tbl>
    <w:tbl>
      <w:tblPr>
        <w:tblW w:w="8140" w:type="dxa"/>
        <w:jc w:val="left"/>
        <w:tblInd w:w="0" w:type="dxa"/>
        <w:tblLayout w:type="fixed"/>
        <w:tblCellMar>
          <w:top w:w="0" w:type="dxa"/>
          <w:left w:w="0" w:type="dxa"/>
          <w:bottom w:w="0" w:type="dxa"/>
          <w:right w:w="0" w:type="dxa"/>
        </w:tblCellMar>
      </w:tblPr>
      <w:tblGrid>
        <w:gridCol w:w="305"/>
        <w:gridCol w:w="7835"/>
      </w:tblGrid>
      <w:tr>
        <w:trPr/>
        <w:tc>
          <w:tcPr>
            <w:tcW w:w="305" w:type="dxa"/>
            <w:tcBorders/>
            <w:vAlign w:val="center"/>
          </w:tcPr>
          <w:p>
            <w:pPr>
              <w:pStyle w:val="TableContents"/>
              <w:bidi w:val="0"/>
              <w:spacing w:before="0" w:after="0"/>
              <w:jc w:val="left"/>
              <w:rPr/>
            </w:pPr>
            <w:r>
              <w:rPr/>
              <w:t>(2)</w:t>
            </w:r>
          </w:p>
        </w:tc>
        <w:tc>
          <w:tcPr>
            <w:tcW w:w="783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Total expenses of the offering payable by us, excluding the underwriting discount, are estimated to be approximately $0.3 million. See “</w:t>
            </w:r>
          </w:p>
          <w:p>
            <w:pPr>
              <w:pStyle w:val="TableContents"/>
              <w:bidi w:val="0"/>
              <w:spacing w:before="0" w:after="0"/>
              <w:jc w:val="left"/>
              <w:rPr>
                <w:rFonts w:ascii="Times New Roman" w:hAnsi="Times New Roman"/>
                <w:i/>
                <w:caps w:val="false"/>
                <w:smallCaps w:val="false"/>
                <w:spacing w:val="0"/>
                <w:sz w:val="14"/>
              </w:rPr>
            </w:pPr>
            <w:r>
              <w:rPr>
                <w:rFonts w:ascii="Times New Roman" w:hAnsi="Times New Roman"/>
                <w:i/>
                <w:caps w:val="false"/>
                <w:smallCaps w:val="false"/>
                <w:spacing w:val="0"/>
                <w:sz w:val="14"/>
              </w:rPr>
              <w:t>Underwriting</w:t>
            </w:r>
          </w:p>
          <w:p>
            <w:pPr>
              <w:pStyle w:val="TableContents"/>
              <w:bidi w:val="0"/>
              <w:spacing w:before="0" w:after="0"/>
              <w:jc w:val="left"/>
              <w:rPr/>
            </w:pPr>
            <w:r>
              <w:rPr/>
              <w:t xml:space="preserve">” </w:t>
            </w:r>
            <w:r>
              <w:rPr>
                <w:rFonts w:ascii="Times New Roman" w:hAnsi="Times New Roman"/>
                <w:sz w:val="14"/>
              </w:rPr>
              <w:t xml:space="preserve">on page S-39 of this prospectus supplement. </w:t>
            </w:r>
          </w:p>
        </w:tc>
      </w:tr>
    </w:tbl>
    <w:p>
      <w:pPr>
        <w:pStyle w:val="TextBody"/>
        <w:bidi w:val="0"/>
        <w:spacing w:before="80" w:after="0"/>
        <w:ind w:left="0" w:right="0" w:hanging="0"/>
        <w:jc w:val="left"/>
        <w:rPr>
          <w:rFonts w:ascii="Times New Roman" w:hAnsi="Times New Roman"/>
          <w:spacing w:val="0"/>
          <w:sz w:val="14"/>
        </w:rPr>
      </w:pPr>
      <w:r>
        <w:rPr>
          <w:rFonts w:ascii="Times New Roman" w:hAnsi="Times New Roman"/>
          <w:spacing w:val="0"/>
          <w:sz w:val="14"/>
        </w:rPr>
        <w:t>Delivery of the Notes offered hereby in book-entry form only through The De</w:t>
      </w:r>
    </w:p>
    <w:p>
      <w:pPr>
        <w:pStyle w:val="TextBody"/>
        <w:bidi w:val="0"/>
        <w:spacing w:before="80" w:after="0"/>
        <w:jc w:val="left"/>
        <w:rPr>
          <w:rFonts w:ascii="Times New Roman" w:hAnsi="Times New Roman"/>
          <w:spacing w:val="0"/>
          <w:sz w:val="14"/>
        </w:rPr>
      </w:pPr>
      <w:r>
        <w:rPr>
          <w:rFonts w:ascii="Times New Roman" w:hAnsi="Times New Roman"/>
          <w:spacing w:val="0"/>
          <w:sz w:val="14"/>
        </w:rPr>
        <w:t>po</w:t>
      </w:r>
    </w:p>
    <w:p>
      <w:pPr>
        <w:pStyle w:val="TextBody"/>
        <w:bidi w:val="0"/>
        <w:spacing w:before="80" w:after="0"/>
        <w:jc w:val="left"/>
        <w:rPr>
          <w:rFonts w:ascii="Times New Roman" w:hAnsi="Times New Roman"/>
          <w:spacing w:val="0"/>
          <w:sz w:val="14"/>
        </w:rPr>
      </w:pPr>
      <w:r>
        <w:rPr>
          <w:rFonts w:ascii="Times New Roman" w:hAnsi="Times New Roman"/>
          <w:spacing w:val="0"/>
          <w:sz w:val="14"/>
        </w:rPr>
        <w:t xml:space="preserve">sitory Trust Company (“DTC”) will be made on or about October 3, 2025.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center"/>
        <w:rPr/>
      </w:pPr>
      <w:r>
        <w:rPr/>
        <w:t> </w:t>
      </w:r>
    </w:p>
    <w:p>
      <w:pPr>
        <w:pStyle w:val="TextBody"/>
        <w:bidi w:val="0"/>
        <w:spacing w:before="80" w:after="0"/>
        <w:jc w:val="center"/>
        <w:rPr>
          <w:rFonts w:ascii="Times New Roman" w:hAnsi="Times New Roman"/>
          <w:b/>
          <w:i/>
          <w:sz w:val="16"/>
        </w:rPr>
      </w:pPr>
      <w:r>
        <w:rPr>
          <w:rFonts w:ascii="Times New Roman" w:hAnsi="Times New Roman"/>
          <w:b/>
          <w:i/>
          <w:sz w:val="16"/>
        </w:rPr>
        <w:t xml:space="preserve">Book-Running Managers </w:t>
      </w:r>
    </w:p>
    <w:p>
      <w:pPr>
        <w:pStyle w:val="TextBody"/>
        <w:bidi w:val="0"/>
        <w:spacing w:before="0" w:after="0"/>
        <w:jc w:val="left"/>
        <w:rPr/>
      </w:pPr>
      <w:r>
        <w:rPr/>
        <w:t> </w:t>
      </w:r>
    </w:p>
    <w:tbl>
      <w:tblPr>
        <w:tblW w:w="2335" w:type="dxa"/>
        <w:jc w:val="left"/>
        <w:tblInd w:w="0" w:type="dxa"/>
        <w:tblLayout w:type="fixed"/>
        <w:tblCellMar>
          <w:top w:w="0" w:type="dxa"/>
          <w:left w:w="0" w:type="dxa"/>
          <w:bottom w:w="0" w:type="dxa"/>
          <w:right w:w="0" w:type="dxa"/>
        </w:tblCellMar>
      </w:tblPr>
      <w:tblGrid>
        <w:gridCol w:w="1790"/>
        <w:gridCol w:w="60"/>
        <w:gridCol w:w="485"/>
      </w:tblGrid>
      <w:tr>
        <w:trPr/>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0"/>
              <w:jc w:val="center"/>
              <w:rPr>
                <w:b/>
              </w:rPr>
            </w:pPr>
            <w:r>
              <w:rPr>
                <w:b/>
              </w:rPr>
              <w:t xml:space="preserve">Raymond James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jc w:val="center"/>
              <w:rPr>
                <w:b/>
              </w:rPr>
            </w:pPr>
            <w:r>
              <w:rPr>
                <w:b/>
              </w:rPr>
              <w:t>ING</w:t>
            </w:r>
          </w:p>
        </w:tc>
      </w:tr>
    </w:tbl>
    <w:p>
      <w:pPr>
        <w:pStyle w:val="TextBody"/>
        <w:bidi w:val="0"/>
        <w:spacing w:before="80" w:after="0"/>
        <w:jc w:val="center"/>
        <w:rPr>
          <w:rFonts w:ascii="Times New Roman" w:hAnsi="Times New Roman"/>
          <w:b/>
          <w:i/>
          <w:sz w:val="16"/>
        </w:rPr>
      </w:pPr>
      <w:r>
        <w:rPr>
          <w:rFonts w:ascii="Times New Roman" w:hAnsi="Times New Roman"/>
          <w:b/>
          <w:i/>
          <w:sz w:val="16"/>
        </w:rPr>
        <w:t xml:space="preserve">Lead Managers </w:t>
      </w:r>
    </w:p>
    <w:p>
      <w:pPr>
        <w:pStyle w:val="TextBody"/>
        <w:bidi w:val="0"/>
        <w:spacing w:before="0" w:after="0"/>
        <w:jc w:val="left"/>
        <w:rPr/>
      </w:pPr>
      <w:r>
        <w:rPr/>
        <w:t> </w:t>
      </w:r>
    </w:p>
    <w:tbl>
      <w:tblPr>
        <w:tblW w:w="6319" w:type="dxa"/>
        <w:jc w:val="left"/>
        <w:tblInd w:w="0" w:type="dxa"/>
        <w:tblLayout w:type="fixed"/>
        <w:tblCellMar>
          <w:top w:w="0" w:type="dxa"/>
          <w:left w:w="0" w:type="dxa"/>
          <w:bottom w:w="0" w:type="dxa"/>
          <w:right w:w="0" w:type="dxa"/>
        </w:tblCellMar>
      </w:tblPr>
      <w:tblGrid>
        <w:gridCol w:w="38"/>
        <w:gridCol w:w="60"/>
        <w:gridCol w:w="3890"/>
        <w:gridCol w:w="60"/>
        <w:gridCol w:w="23"/>
        <w:gridCol w:w="60"/>
        <w:gridCol w:w="2090"/>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0"/>
              <w:jc w:val="center"/>
              <w:rPr>
                <w:b/>
              </w:rPr>
            </w:pPr>
            <w:r>
              <w:rPr>
                <w:b/>
              </w:rPr>
              <w:t>Keefe, Bruyette &amp; Woods</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0"/>
              <w:jc w:val="center"/>
              <w:rPr>
                <w:b/>
              </w:rPr>
            </w:pPr>
            <w:r>
              <w:rPr>
                <w:b/>
              </w:rPr>
              <w:t>Oppenheimer &amp; Co.</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0"/>
              <w:jc w:val="center"/>
              <w:rPr/>
            </w:pPr>
            <w:r>
              <w:rPr/>
              <w:t>          </w:t>
            </w:r>
            <w:r>
              <w:rPr>
                <w:i/>
              </w:rPr>
              <w:t>A Stifel Company</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80" w:after="0"/>
        <w:jc w:val="center"/>
        <w:rPr>
          <w:rFonts w:ascii="Times New Roman" w:hAnsi="Times New Roman"/>
          <w:b/>
          <w:i/>
          <w:sz w:val="16"/>
        </w:rPr>
      </w:pPr>
      <w:r>
        <w:rPr>
          <w:rFonts w:ascii="Times New Roman" w:hAnsi="Times New Roman"/>
          <w:b/>
          <w:i/>
          <w:sz w:val="16"/>
        </w:rPr>
        <w:t xml:space="preserve">Co-Managers </w:t>
      </w:r>
    </w:p>
    <w:p>
      <w:pPr>
        <w:pStyle w:val="TextBody"/>
        <w:bidi w:val="0"/>
        <w:spacing w:before="0" w:after="0"/>
        <w:jc w:val="left"/>
        <w:rPr/>
      </w:pPr>
      <w:r>
        <w:rPr/>
        <w:t> </w:t>
      </w:r>
    </w:p>
    <w:tbl>
      <w:tblPr>
        <w:tblW w:w="3265" w:type="dxa"/>
        <w:jc w:val="left"/>
        <w:tblInd w:w="0" w:type="dxa"/>
        <w:tblLayout w:type="fixed"/>
        <w:tblCellMar>
          <w:top w:w="0" w:type="dxa"/>
          <w:left w:w="0" w:type="dxa"/>
          <w:bottom w:w="0" w:type="dxa"/>
          <w:right w:w="0" w:type="dxa"/>
        </w:tblCellMar>
      </w:tblPr>
      <w:tblGrid>
        <w:gridCol w:w="1940"/>
        <w:gridCol w:w="60"/>
        <w:gridCol w:w="1265"/>
      </w:tblGrid>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0"/>
              <w:jc w:val="center"/>
              <w:rPr>
                <w:b/>
              </w:rPr>
            </w:pPr>
            <w:r>
              <w:rPr>
                <w:b/>
              </w:rPr>
              <w:t xml:space="preserve">B. Riley Securities </w:t>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0"/>
              <w:jc w:val="center"/>
              <w:rPr>
                <w:b/>
              </w:rPr>
            </w:pPr>
            <w:r>
              <w:rPr>
                <w:b/>
              </w:rPr>
              <w:t>Clear Street</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14"/>
        </w:rPr>
      </w:pPr>
      <w:r>
        <w:rPr>
          <w:rFonts w:ascii="Times New Roman" w:hAnsi="Times New Roman"/>
          <w:b/>
          <w:sz w:val="14"/>
        </w:rPr>
        <w:t xml:space="preserve">The date of this prospectus supplement is October 1, 2025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95" w:type="dxa"/>
        <w:jc w:val="left"/>
        <w:tblInd w:w="0" w:type="dxa"/>
        <w:tblLayout w:type="fixed"/>
        <w:tblCellMar>
          <w:top w:w="0" w:type="dxa"/>
          <w:left w:w="0" w:type="dxa"/>
          <w:bottom w:w="0" w:type="dxa"/>
          <w:right w:w="0" w:type="dxa"/>
        </w:tblCellMar>
      </w:tblPr>
      <w:tblGrid>
        <w:gridCol w:w="4370"/>
        <w:gridCol w:w="120"/>
        <w:gridCol w:w="60"/>
        <w:gridCol w:w="470"/>
        <w:gridCol w:w="75"/>
      </w:tblGrid>
      <w:tr>
        <w:trPr/>
        <w:tc>
          <w:tcPr>
            <w:tcW w:w="43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3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Page</w:t>
            </w:r>
          </w:p>
        </w:tc>
        <w:tc>
          <w:tcPr>
            <w:tcW w:w="75" w:type="dxa"/>
            <w:tcBorders/>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0"/>
              <w:jc w:val="left"/>
              <w:rPr/>
            </w:pPr>
            <w:hyperlink w:anchor="supptoc29698_1">
              <w:r>
                <w:rPr>
                  <w:rStyle w:val="InternetLink"/>
                  <w:rFonts w:ascii="Times New Roman" w:hAnsi="Times New Roman"/>
                  <w:sz w:val="20"/>
                </w:rPr>
                <w:t>About this Prospectus Supplement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spacing w:val="0"/>
              </w:rPr>
            </w:pPr>
            <w:r>
              <w:rPr>
                <w:spacing w:val="0"/>
              </w:rPr>
              <w:t>S-1</w:t>
            </w:r>
          </w:p>
        </w:tc>
        <w:tc>
          <w:tcPr>
            <w:tcW w:w="75" w:type="dxa"/>
            <w:tcBorders/>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0"/>
              <w:jc w:val="left"/>
              <w:rPr/>
            </w:pPr>
            <w:hyperlink w:anchor="supptoc29698_2">
              <w:r>
                <w:rPr>
                  <w:rStyle w:val="InternetLink"/>
                  <w:rFonts w:ascii="Times New Roman" w:hAnsi="Times New Roman"/>
                  <w:sz w:val="20"/>
                </w:rPr>
                <w:t>Prospectus Supplement Summary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spacing w:val="0"/>
              </w:rPr>
            </w:pPr>
            <w:r>
              <w:rPr>
                <w:spacing w:val="0"/>
              </w:rPr>
              <w:t>S-2</w:t>
            </w:r>
          </w:p>
        </w:tc>
        <w:tc>
          <w:tcPr>
            <w:tcW w:w="75" w:type="dxa"/>
            <w:tcBorders/>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0"/>
              <w:jc w:val="left"/>
              <w:rPr/>
            </w:pPr>
            <w:hyperlink w:anchor="supptoc29698_3">
              <w:r>
                <w:rPr>
                  <w:rStyle w:val="InternetLink"/>
                  <w:rFonts w:ascii="Times New Roman" w:hAnsi="Times New Roman"/>
                  <w:sz w:val="20"/>
                </w:rPr>
                <w:t>The Offering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spacing w:val="0"/>
              </w:rPr>
            </w:pPr>
            <w:r>
              <w:rPr>
                <w:spacing w:val="0"/>
              </w:rPr>
              <w:t>S-4</w:t>
            </w:r>
          </w:p>
        </w:tc>
        <w:tc>
          <w:tcPr>
            <w:tcW w:w="75" w:type="dxa"/>
            <w:tcBorders/>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0"/>
              <w:jc w:val="left"/>
              <w:rPr/>
            </w:pPr>
            <w:hyperlink w:anchor="supptoc29698_4">
              <w:r>
                <w:rPr>
                  <w:rStyle w:val="InternetLink"/>
                  <w:rFonts w:ascii="Times New Roman" w:hAnsi="Times New Roman"/>
                  <w:sz w:val="20"/>
                </w:rPr>
                <w:t>Supplementary Risk Factors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spacing w:val="0"/>
              </w:rPr>
            </w:pPr>
            <w:r>
              <w:rPr>
                <w:spacing w:val="0"/>
              </w:rPr>
              <w:t>S-10</w:t>
            </w:r>
          </w:p>
        </w:tc>
        <w:tc>
          <w:tcPr>
            <w:tcW w:w="75" w:type="dxa"/>
            <w:tcBorders/>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0"/>
              <w:jc w:val="left"/>
              <w:rPr/>
            </w:pPr>
            <w:hyperlink w:anchor="supptoc29698_5">
              <w:r>
                <w:rPr>
                  <w:rStyle w:val="InternetLink"/>
                  <w:rFonts w:ascii="Times New Roman" w:hAnsi="Times New Roman"/>
                  <w:sz w:val="20"/>
                </w:rPr>
                <w:t>Special Note Regarding Forward-Looking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spacing w:val="0"/>
              </w:rPr>
            </w:pPr>
            <w:r>
              <w:rPr>
                <w:spacing w:val="0"/>
              </w:rPr>
              <w:t>S-15</w:t>
            </w:r>
          </w:p>
        </w:tc>
        <w:tc>
          <w:tcPr>
            <w:tcW w:w="75" w:type="dxa"/>
            <w:tcBorders/>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0"/>
              <w:jc w:val="left"/>
              <w:rPr/>
            </w:pPr>
            <w:hyperlink w:anchor="supptoc29698_6">
              <w:r>
                <w:rPr>
                  <w:rStyle w:val="InternetLink"/>
                  <w:rFonts w:ascii="Times New Roman" w:hAnsi="Times New Roman"/>
                  <w:sz w:val="20"/>
                </w:rPr>
                <w:t>Use of Proceeds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spacing w:val="0"/>
              </w:rPr>
            </w:pPr>
            <w:r>
              <w:rPr>
                <w:spacing w:val="0"/>
              </w:rPr>
              <w:t>S-17</w:t>
            </w:r>
          </w:p>
        </w:tc>
        <w:tc>
          <w:tcPr>
            <w:tcW w:w="75" w:type="dxa"/>
            <w:tcBorders/>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0"/>
              <w:jc w:val="left"/>
              <w:rPr/>
            </w:pPr>
            <w:hyperlink w:anchor="supptoc29698_7">
              <w:r>
                <w:rPr>
                  <w:rStyle w:val="InternetLink"/>
                  <w:rFonts w:ascii="Times New Roman" w:hAnsi="Times New Roman"/>
                  <w:sz w:val="20"/>
                </w:rPr>
                <w:t>Capitalization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spacing w:val="0"/>
              </w:rPr>
            </w:pPr>
            <w:r>
              <w:rPr>
                <w:spacing w:val="0"/>
              </w:rPr>
              <w:t>S-18</w:t>
            </w:r>
          </w:p>
        </w:tc>
        <w:tc>
          <w:tcPr>
            <w:tcW w:w="75" w:type="dxa"/>
            <w:tcBorders/>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0"/>
              <w:jc w:val="left"/>
              <w:rPr/>
            </w:pPr>
            <w:hyperlink w:anchor="supptoc29698_8">
              <w:r>
                <w:rPr>
                  <w:rStyle w:val="InternetLink"/>
                  <w:rFonts w:ascii="Times New Roman" w:hAnsi="Times New Roman"/>
                  <w:sz w:val="20"/>
                </w:rPr>
                <w:t>Description of the Notes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spacing w:val="0"/>
              </w:rPr>
            </w:pPr>
            <w:r>
              <w:rPr>
                <w:spacing w:val="0"/>
              </w:rPr>
              <w:t>S-19</w:t>
            </w:r>
          </w:p>
        </w:tc>
        <w:tc>
          <w:tcPr>
            <w:tcW w:w="75" w:type="dxa"/>
            <w:tcBorders/>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0"/>
              <w:jc w:val="left"/>
              <w:rPr/>
            </w:pPr>
            <w:hyperlink w:anchor="supptoc29698_9">
              <w:r>
                <w:rPr>
                  <w:rStyle w:val="InternetLink"/>
                  <w:rFonts w:ascii="Times New Roman" w:hAnsi="Times New Roman"/>
                  <w:sz w:val="20"/>
                </w:rPr>
                <w:t>Certain U.S. Federal Income Tax Consequences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spacing w:val="0"/>
              </w:rPr>
            </w:pPr>
            <w:r>
              <w:rPr>
                <w:spacing w:val="0"/>
              </w:rPr>
              <w:t>S-35</w:t>
            </w:r>
          </w:p>
        </w:tc>
        <w:tc>
          <w:tcPr>
            <w:tcW w:w="75" w:type="dxa"/>
            <w:tcBorders/>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0"/>
              <w:jc w:val="left"/>
              <w:rPr/>
            </w:pPr>
            <w:hyperlink w:anchor="supptoc29698_10">
              <w:r>
                <w:rPr>
                  <w:rStyle w:val="InternetLink"/>
                  <w:rFonts w:ascii="Times New Roman" w:hAnsi="Times New Roman"/>
                  <w:sz w:val="20"/>
                </w:rPr>
                <w:t xml:space="preserve">Underwriting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spacing w:val="0"/>
              </w:rPr>
            </w:pPr>
            <w:r>
              <w:rPr>
                <w:spacing w:val="0"/>
              </w:rPr>
              <w:t>S-41</w:t>
            </w:r>
          </w:p>
        </w:tc>
        <w:tc>
          <w:tcPr>
            <w:tcW w:w="75" w:type="dxa"/>
            <w:tcBorders/>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0"/>
              <w:jc w:val="left"/>
              <w:rPr/>
            </w:pPr>
            <w:hyperlink w:anchor="supptoc29698_11">
              <w:r>
                <w:rPr>
                  <w:rStyle w:val="InternetLink"/>
                  <w:rFonts w:ascii="Times New Roman" w:hAnsi="Times New Roman"/>
                  <w:sz w:val="20"/>
                </w:rPr>
                <w:t>Legal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spacing w:val="0"/>
              </w:rPr>
            </w:pPr>
            <w:r>
              <w:rPr>
                <w:spacing w:val="0"/>
              </w:rPr>
              <w:t>S-45</w:t>
            </w:r>
          </w:p>
        </w:tc>
        <w:tc>
          <w:tcPr>
            <w:tcW w:w="75" w:type="dxa"/>
            <w:tcBorders/>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0"/>
              <w:jc w:val="left"/>
              <w:rPr/>
            </w:pPr>
            <w:hyperlink w:anchor="supptoc29698_12">
              <w:r>
                <w:rPr>
                  <w:rStyle w:val="InternetLink"/>
                  <w:rFonts w:ascii="Times New Roman" w:hAnsi="Times New Roman"/>
                  <w:sz w:val="20"/>
                </w:rPr>
                <w:t>Incorporation by Reference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spacing w:val="0"/>
              </w:rPr>
            </w:pPr>
            <w:r>
              <w:rPr>
                <w:spacing w:val="0"/>
              </w:rPr>
              <w:t>S-46</w:t>
            </w:r>
          </w:p>
        </w:tc>
        <w:tc>
          <w:tcPr>
            <w:tcW w:w="75" w:type="dxa"/>
            <w:tcBorders/>
            <w:vAlign w:val="center"/>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7810" w:type="dxa"/>
        <w:jc w:val="left"/>
        <w:tblInd w:w="0" w:type="dxa"/>
        <w:tblLayout w:type="fixed"/>
        <w:tblCellMar>
          <w:top w:w="0" w:type="dxa"/>
          <w:left w:w="0" w:type="dxa"/>
          <w:bottom w:w="0" w:type="dxa"/>
          <w:right w:w="0" w:type="dxa"/>
        </w:tblCellMar>
      </w:tblPr>
      <w:tblGrid>
        <w:gridCol w:w="7295"/>
        <w:gridCol w:w="120"/>
        <w:gridCol w:w="60"/>
        <w:gridCol w:w="260"/>
        <w:gridCol w:w="75"/>
      </w:tblGrid>
      <w:tr>
        <w:trPr/>
        <w:tc>
          <w:tcPr>
            <w:tcW w:w="72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295" w:type="dxa"/>
            <w:tcBorders/>
            <w:vAlign w:val="center"/>
          </w:tcPr>
          <w:p>
            <w:pPr>
              <w:pStyle w:val="TableContents"/>
              <w:bidi w:val="0"/>
              <w:spacing w:before="0" w:after="0"/>
              <w:jc w:val="left"/>
              <w:rPr/>
            </w:pPr>
            <w:hyperlink w:anchor="toc29698_1">
              <w:r>
                <w:rPr>
                  <w:rStyle w:val="InternetLink"/>
                  <w:rFonts w:ascii="Times New Roman" w:hAnsi="Times New Roman"/>
                  <w:sz w:val="20"/>
                </w:rPr>
                <w:t>Prospectus Summary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w:t>
            </w:r>
          </w:p>
        </w:tc>
        <w:tc>
          <w:tcPr>
            <w:tcW w:w="75" w:type="dxa"/>
            <w:tcBorders/>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0"/>
              <w:jc w:val="left"/>
              <w:rPr/>
            </w:pPr>
            <w:hyperlink w:anchor="toc29698_2">
              <w:r>
                <w:rPr>
                  <w:rStyle w:val="InternetLink"/>
                  <w:rFonts w:ascii="Times New Roman" w:hAnsi="Times New Roman"/>
                  <w:sz w:val="20"/>
                </w:rPr>
                <w:t>The Offering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w:t>
            </w:r>
          </w:p>
        </w:tc>
        <w:tc>
          <w:tcPr>
            <w:tcW w:w="75" w:type="dxa"/>
            <w:tcBorders/>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0"/>
              <w:jc w:val="left"/>
              <w:rPr/>
            </w:pPr>
            <w:hyperlink w:anchor="toc29698_3">
              <w:r>
                <w:rPr>
                  <w:rStyle w:val="InternetLink"/>
                  <w:rFonts w:ascii="Times New Roman" w:hAnsi="Times New Roman"/>
                  <w:sz w:val="20"/>
                </w:rPr>
                <w:t>Fees and Expenses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0"/>
              <w:jc w:val="left"/>
              <w:rPr/>
            </w:pPr>
            <w:hyperlink w:anchor="toc29698_4">
              <w:r>
                <w:rPr>
                  <w:rStyle w:val="InternetLink"/>
                  <w:rFonts w:ascii="Times New Roman" w:hAnsi="Times New Roman"/>
                  <w:sz w:val="20"/>
                </w:rPr>
                <w:t>Risk Factors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11</w:t>
            </w:r>
          </w:p>
        </w:tc>
        <w:tc>
          <w:tcPr>
            <w:tcW w:w="75" w:type="dxa"/>
            <w:tcBorders/>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0"/>
              <w:jc w:val="left"/>
              <w:rPr/>
            </w:pPr>
            <w:hyperlink w:anchor="toc29698_5">
              <w:r>
                <w:rPr>
                  <w:rStyle w:val="InternetLink"/>
                  <w:rFonts w:ascii="Times New Roman" w:hAnsi="Times New Roman"/>
                  <w:sz w:val="20"/>
                </w:rPr>
                <w:t>Special Note Regarding Forward-Looking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12</w:t>
            </w:r>
          </w:p>
        </w:tc>
        <w:tc>
          <w:tcPr>
            <w:tcW w:w="75" w:type="dxa"/>
            <w:tcBorders/>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0"/>
              <w:jc w:val="left"/>
              <w:rPr/>
            </w:pPr>
            <w:hyperlink w:anchor="toc29698_6">
              <w:r>
                <w:rPr>
                  <w:rStyle w:val="InternetLink"/>
                  <w:rFonts w:ascii="Times New Roman" w:hAnsi="Times New Roman"/>
                  <w:sz w:val="20"/>
                </w:rPr>
                <w:t>Use of Proceeds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0"/>
              <w:jc w:val="left"/>
              <w:rPr/>
            </w:pPr>
            <w:hyperlink w:anchor="toc29698_7">
              <w:r>
                <w:rPr>
                  <w:rStyle w:val="InternetLink"/>
                  <w:rFonts w:ascii="Times New Roman" w:hAnsi="Times New Roman"/>
                  <w:sz w:val="20"/>
                </w:rPr>
                <w:t>Price Range of Common Stock</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15</w:t>
            </w:r>
          </w:p>
        </w:tc>
        <w:tc>
          <w:tcPr>
            <w:tcW w:w="75" w:type="dxa"/>
            <w:tcBorders/>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0"/>
              <w:jc w:val="left"/>
              <w:rPr/>
            </w:pPr>
            <w:hyperlink w:anchor="toc29698_8">
              <w:r>
                <w:rPr>
                  <w:rStyle w:val="InternetLink"/>
                  <w:rFonts w:ascii="Times New Roman" w:hAnsi="Times New Roman"/>
                  <w:sz w:val="20"/>
                </w:rPr>
                <w:t>Financial Highlights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16</w:t>
            </w:r>
          </w:p>
        </w:tc>
        <w:tc>
          <w:tcPr>
            <w:tcW w:w="75" w:type="dxa"/>
            <w:tcBorders/>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0"/>
              <w:jc w:val="left"/>
              <w:rPr/>
            </w:pPr>
            <w:hyperlink w:anchor="toc29698_10">
              <w:r>
                <w:rPr>
                  <w:rStyle w:val="InternetLink"/>
                  <w:rFonts w:ascii="Times New Roman" w:hAnsi="Times New Roman"/>
                  <w:sz w:val="20"/>
                </w:rPr>
                <w:t>Management’s Discussion and Analysis of Financial Condition and Results of Operations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17</w:t>
            </w:r>
          </w:p>
        </w:tc>
        <w:tc>
          <w:tcPr>
            <w:tcW w:w="75" w:type="dxa"/>
            <w:tcBorders/>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0"/>
              <w:jc w:val="left"/>
              <w:rPr/>
            </w:pPr>
            <w:hyperlink w:anchor="toc29698_11">
              <w:r>
                <w:rPr>
                  <w:rStyle w:val="InternetLink"/>
                  <w:rFonts w:ascii="Times New Roman" w:hAnsi="Times New Roman"/>
                  <w:sz w:val="20"/>
                </w:rPr>
                <w:t>Senior Securities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18</w:t>
            </w:r>
          </w:p>
        </w:tc>
        <w:tc>
          <w:tcPr>
            <w:tcW w:w="75" w:type="dxa"/>
            <w:tcBorders/>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0"/>
              <w:jc w:val="left"/>
              <w:rPr/>
            </w:pPr>
            <w:hyperlink w:anchor="toc29698_12">
              <w:r>
                <w:rPr>
                  <w:rStyle w:val="InternetLink"/>
                  <w:rFonts w:ascii="Times New Roman" w:hAnsi="Times New Roman"/>
                  <w:sz w:val="20"/>
                </w:rPr>
                <w:t>The Company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19</w:t>
            </w:r>
          </w:p>
        </w:tc>
        <w:tc>
          <w:tcPr>
            <w:tcW w:w="75" w:type="dxa"/>
            <w:tcBorders/>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0"/>
              <w:jc w:val="left"/>
              <w:rPr/>
            </w:pPr>
            <w:hyperlink w:anchor="toc29698_13">
              <w:r>
                <w:rPr>
                  <w:rStyle w:val="InternetLink"/>
                  <w:rFonts w:ascii="Times New Roman" w:hAnsi="Times New Roman"/>
                  <w:sz w:val="20"/>
                </w:rPr>
                <w:t>Portfolio Companies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20</w:t>
            </w:r>
          </w:p>
        </w:tc>
        <w:tc>
          <w:tcPr>
            <w:tcW w:w="75" w:type="dxa"/>
            <w:tcBorders/>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0"/>
              <w:jc w:val="left"/>
              <w:rPr/>
            </w:pPr>
            <w:hyperlink w:anchor="toc29698_14">
              <w:r>
                <w:rPr>
                  <w:rStyle w:val="InternetLink"/>
                  <w:rFonts w:ascii="Times New Roman" w:hAnsi="Times New Roman"/>
                  <w:sz w:val="20"/>
                </w:rPr>
                <w:t>Management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37</w:t>
            </w:r>
          </w:p>
        </w:tc>
        <w:tc>
          <w:tcPr>
            <w:tcW w:w="75" w:type="dxa"/>
            <w:tcBorders/>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0"/>
              <w:jc w:val="left"/>
              <w:rPr/>
            </w:pPr>
            <w:hyperlink w:anchor="toc29698_15">
              <w:r>
                <w:rPr>
                  <w:rStyle w:val="InternetLink"/>
                  <w:rFonts w:ascii="Times New Roman" w:hAnsi="Times New Roman"/>
                  <w:sz w:val="20"/>
                </w:rPr>
                <w:t>Management and Other Agreements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38</w:t>
            </w:r>
          </w:p>
        </w:tc>
        <w:tc>
          <w:tcPr>
            <w:tcW w:w="75" w:type="dxa"/>
            <w:tcBorders/>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0"/>
              <w:jc w:val="left"/>
              <w:rPr/>
            </w:pPr>
            <w:hyperlink w:anchor="toc29698_16">
              <w:r>
                <w:rPr>
                  <w:rStyle w:val="InternetLink"/>
                  <w:rFonts w:ascii="Times New Roman" w:hAnsi="Times New Roman"/>
                  <w:sz w:val="20"/>
                </w:rPr>
                <w:t>Certain Relationships and Related Transactions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39</w:t>
            </w:r>
          </w:p>
        </w:tc>
        <w:tc>
          <w:tcPr>
            <w:tcW w:w="75" w:type="dxa"/>
            <w:tcBorders/>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0"/>
              <w:jc w:val="left"/>
              <w:rPr/>
            </w:pPr>
            <w:hyperlink w:anchor="toc29698_17">
              <w:r>
                <w:rPr>
                  <w:rStyle w:val="InternetLink"/>
                  <w:rFonts w:ascii="Times New Roman" w:hAnsi="Times New Roman"/>
                  <w:sz w:val="20"/>
                </w:rPr>
                <w:t>Control Persons and Principal Stockholders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40</w:t>
            </w:r>
          </w:p>
        </w:tc>
        <w:tc>
          <w:tcPr>
            <w:tcW w:w="75" w:type="dxa"/>
            <w:tcBorders/>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0"/>
              <w:jc w:val="left"/>
              <w:rPr/>
            </w:pPr>
            <w:hyperlink w:anchor="toc29698_18">
              <w:r>
                <w:rPr>
                  <w:rStyle w:val="InternetLink"/>
                  <w:rFonts w:ascii="Times New Roman" w:hAnsi="Times New Roman"/>
                  <w:sz w:val="20"/>
                </w:rPr>
                <w:t>Sales of Common Stock Below Net Asset Value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41</w:t>
            </w:r>
          </w:p>
        </w:tc>
        <w:tc>
          <w:tcPr>
            <w:tcW w:w="75" w:type="dxa"/>
            <w:tcBorders/>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0"/>
              <w:jc w:val="left"/>
              <w:rPr/>
            </w:pPr>
            <w:hyperlink w:anchor="toc29698_19">
              <w:r>
                <w:rPr>
                  <w:rStyle w:val="InternetLink"/>
                  <w:rFonts w:ascii="Times New Roman" w:hAnsi="Times New Roman"/>
                  <w:sz w:val="20"/>
                </w:rPr>
                <w:t>Dividend Reinvestment Plan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45</w:t>
            </w:r>
          </w:p>
        </w:tc>
        <w:tc>
          <w:tcPr>
            <w:tcW w:w="75" w:type="dxa"/>
            <w:tcBorders/>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0"/>
              <w:jc w:val="left"/>
              <w:rPr/>
            </w:pPr>
            <w:hyperlink w:anchor="toc29698_20">
              <w:r>
                <w:rPr>
                  <w:rStyle w:val="InternetLink"/>
                  <w:rFonts w:ascii="Times New Roman" w:hAnsi="Times New Roman"/>
                  <w:sz w:val="20"/>
                </w:rPr>
                <w:t>Certain U.S. Federal Income Tax Considerations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47</w:t>
            </w:r>
          </w:p>
        </w:tc>
        <w:tc>
          <w:tcPr>
            <w:tcW w:w="75" w:type="dxa"/>
            <w:tcBorders/>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0"/>
              <w:jc w:val="left"/>
              <w:rPr/>
            </w:pPr>
            <w:hyperlink w:anchor="toc29698_21">
              <w:r>
                <w:rPr>
                  <w:rStyle w:val="InternetLink"/>
                  <w:rFonts w:ascii="Times New Roman" w:hAnsi="Times New Roman"/>
                  <w:sz w:val="20"/>
                </w:rPr>
                <w:t>Description of Our Capital Stock</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56</w:t>
            </w:r>
          </w:p>
        </w:tc>
        <w:tc>
          <w:tcPr>
            <w:tcW w:w="75" w:type="dxa"/>
            <w:tcBorders/>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0"/>
              <w:jc w:val="left"/>
              <w:rPr/>
            </w:pPr>
            <w:hyperlink w:anchor="toc29698_22">
              <w:r>
                <w:rPr>
                  <w:rStyle w:val="InternetLink"/>
                  <w:rFonts w:ascii="Times New Roman" w:hAnsi="Times New Roman"/>
                  <w:sz w:val="20"/>
                </w:rPr>
                <w:t>Description of Our Preferred Stock</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63</w:t>
            </w:r>
          </w:p>
        </w:tc>
        <w:tc>
          <w:tcPr>
            <w:tcW w:w="75" w:type="dxa"/>
            <w:tcBorders/>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0"/>
              <w:jc w:val="left"/>
              <w:rPr/>
            </w:pPr>
            <w:hyperlink w:anchor="toc29698_23">
              <w:r>
                <w:rPr>
                  <w:rStyle w:val="InternetLink"/>
                  <w:rFonts w:ascii="Times New Roman" w:hAnsi="Times New Roman"/>
                  <w:sz w:val="20"/>
                </w:rPr>
                <w:t>Description of Our Subscription Rights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65</w:t>
            </w:r>
          </w:p>
        </w:tc>
        <w:tc>
          <w:tcPr>
            <w:tcW w:w="75" w:type="dxa"/>
            <w:tcBorders/>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0"/>
              <w:jc w:val="left"/>
              <w:rPr/>
            </w:pPr>
            <w:hyperlink w:anchor="toc29698_24">
              <w:r>
                <w:rPr>
                  <w:rStyle w:val="InternetLink"/>
                  <w:rFonts w:ascii="Times New Roman" w:hAnsi="Times New Roman"/>
                  <w:sz w:val="20"/>
                </w:rPr>
                <w:t>Description of Our Debt Securities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67</w:t>
            </w:r>
          </w:p>
        </w:tc>
        <w:tc>
          <w:tcPr>
            <w:tcW w:w="75" w:type="dxa"/>
            <w:tcBorders/>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0"/>
              <w:jc w:val="left"/>
              <w:rPr/>
            </w:pPr>
            <w:hyperlink w:anchor="toc29698_25">
              <w:r>
                <w:rPr>
                  <w:rStyle w:val="InternetLink"/>
                  <w:rFonts w:ascii="Times New Roman" w:hAnsi="Times New Roman"/>
                  <w:sz w:val="20"/>
                </w:rPr>
                <w:t>Description of Our Warrants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81</w:t>
            </w:r>
          </w:p>
        </w:tc>
        <w:tc>
          <w:tcPr>
            <w:tcW w:w="75" w:type="dxa"/>
            <w:tcBorders/>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0"/>
              <w:jc w:val="left"/>
              <w:rPr/>
            </w:pPr>
            <w:hyperlink w:anchor="toc29698_26">
              <w:r>
                <w:rPr>
                  <w:rStyle w:val="InternetLink"/>
                  <w:rFonts w:ascii="Times New Roman" w:hAnsi="Times New Roman"/>
                  <w:sz w:val="20"/>
                </w:rPr>
                <w:t>Regulation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83</w:t>
            </w:r>
          </w:p>
        </w:tc>
        <w:tc>
          <w:tcPr>
            <w:tcW w:w="75" w:type="dxa"/>
            <w:tcBorders/>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0"/>
              <w:jc w:val="left"/>
              <w:rPr/>
            </w:pPr>
            <w:hyperlink w:anchor="toc29698_27">
              <w:r>
                <w:rPr>
                  <w:rStyle w:val="InternetLink"/>
                  <w:rFonts w:ascii="Times New Roman" w:hAnsi="Times New Roman"/>
                  <w:sz w:val="20"/>
                </w:rPr>
                <w:t>Plan of Distribution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84</w:t>
            </w:r>
          </w:p>
        </w:tc>
        <w:tc>
          <w:tcPr>
            <w:tcW w:w="75" w:type="dxa"/>
            <w:tcBorders/>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0"/>
              <w:jc w:val="left"/>
              <w:rPr/>
            </w:pPr>
            <w:hyperlink w:anchor="toc29698_28">
              <w:r>
                <w:rPr>
                  <w:rStyle w:val="InternetLink"/>
                  <w:rFonts w:ascii="Times New Roman" w:hAnsi="Times New Roman"/>
                  <w:sz w:val="20"/>
                </w:rPr>
                <w:t>Custodian, Transfer and Dividend Paying Agent and Registrar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87</w:t>
            </w:r>
          </w:p>
        </w:tc>
        <w:tc>
          <w:tcPr>
            <w:tcW w:w="75" w:type="dxa"/>
            <w:tcBorders/>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0"/>
              <w:jc w:val="left"/>
              <w:rPr/>
            </w:pPr>
            <w:hyperlink w:anchor="toc29698_29">
              <w:r>
                <w:rPr>
                  <w:rStyle w:val="InternetLink"/>
                  <w:rFonts w:ascii="Times New Roman" w:hAnsi="Times New Roman"/>
                  <w:sz w:val="20"/>
                </w:rPr>
                <w:t>Brokerage Allocation and Other Practices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88</w:t>
            </w:r>
          </w:p>
        </w:tc>
        <w:tc>
          <w:tcPr>
            <w:tcW w:w="75" w:type="dxa"/>
            <w:tcBorders/>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0"/>
              <w:jc w:val="left"/>
              <w:rPr/>
            </w:pPr>
            <w:hyperlink w:anchor="toc29698_30">
              <w:r>
                <w:rPr>
                  <w:rStyle w:val="InternetLink"/>
                  <w:rFonts w:ascii="Times New Roman" w:hAnsi="Times New Roman"/>
                  <w:sz w:val="20"/>
                </w:rPr>
                <w:t>Legal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89</w:t>
            </w:r>
          </w:p>
        </w:tc>
        <w:tc>
          <w:tcPr>
            <w:tcW w:w="75" w:type="dxa"/>
            <w:tcBorders/>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0"/>
              <w:jc w:val="left"/>
              <w:rPr/>
            </w:pPr>
            <w:hyperlink w:anchor="toc29698_31">
              <w:r>
                <w:rPr>
                  <w:rStyle w:val="InternetLink"/>
                  <w:rFonts w:ascii="Times New Roman" w:hAnsi="Times New Roman"/>
                  <w:sz w:val="20"/>
                </w:rPr>
                <w:t>Independent Registered Public Accounting Firm</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90</w:t>
            </w:r>
          </w:p>
        </w:tc>
        <w:tc>
          <w:tcPr>
            <w:tcW w:w="75" w:type="dxa"/>
            <w:tcBorders/>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0"/>
              <w:jc w:val="left"/>
              <w:rPr/>
            </w:pPr>
            <w:hyperlink w:anchor="toc29698_32">
              <w:r>
                <w:rPr>
                  <w:rStyle w:val="InternetLink"/>
                  <w:rFonts w:ascii="Times New Roman" w:hAnsi="Times New Roman"/>
                  <w:sz w:val="20"/>
                </w:rPr>
                <w:t>Available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91</w:t>
            </w:r>
          </w:p>
        </w:tc>
        <w:tc>
          <w:tcPr>
            <w:tcW w:w="75" w:type="dxa"/>
            <w:tcBorders/>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0"/>
              <w:jc w:val="left"/>
              <w:rPr/>
            </w:pPr>
            <w:hyperlink w:anchor="toc29698_33">
              <w:r>
                <w:rPr>
                  <w:rStyle w:val="InternetLink"/>
                  <w:rFonts w:ascii="Times New Roman" w:hAnsi="Times New Roman"/>
                  <w:sz w:val="20"/>
                </w:rPr>
                <w:t>Incorporation of Certain Information by Reference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92</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p>
    <w:p>
      <w:pPr>
        <w:pStyle w:val="HorizontalLine"/>
        <w:pBdr>
          <w:bottom w:val="double" w:sz="2" w:space="0" w:color="808080"/>
        </w:pBdr>
        <w:bidi w:val="0"/>
        <w:spacing w:before="0" w:after="283"/>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ABOUT THIS PROSPECTUS SUPPLEMENT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z w:val="20"/>
        </w:rPr>
      </w:pPr>
      <w:r>
        <w:rPr>
          <w:rFonts w:ascii="Times New Roman" w:hAnsi="Times New Roman"/>
          <w:sz w:val="20"/>
        </w:rPr>
        <w:t xml:space="preserve">This document is in two parts. The first part is this prospectus supplement, which describes the specific details regarding this offering of Notes and also adds to and updates information contained in the accompanying prospectus and the documents incorporated by reference into this prospectus supplement and the accompanying prospectus. The second part is the accompanying prospectus, which provides general information about us and the securities we may offer from time to time, some of which may not apply to this offering. To the extent the information contained in this prospectus supplement differs from the information contained in the accompanying prospectus or the information included in any document filed prior to the date of this prospectus supplement and incorporated by reference in this prospectus supplement and the accompanying prospectus, the information in this prospectus supplement shall control. Generally, when we refer to this “prospectus”, we are referring to both this prospectus supplement and the accompanying prospectus combined, together with any free writing prospectus that we have authorized for use in connection with this offering. The information included in this prospectus supplement as of September 30, 2025 is from the Company’s records and has not been audited or reviewed by the Company’s auditors. </w:t>
      </w:r>
    </w:p>
    <w:p>
      <w:pPr>
        <w:pStyle w:val="TextBody"/>
        <w:bidi w:val="0"/>
        <w:spacing w:before="240" w:after="0"/>
        <w:jc w:val="left"/>
        <w:rPr>
          <w:rFonts w:ascii="Times New Roman" w:hAnsi="Times New Roman"/>
          <w:b/>
          <w:sz w:val="20"/>
        </w:rPr>
      </w:pPr>
      <w:r>
        <w:rPr>
          <w:rFonts w:ascii="Times New Roman" w:hAnsi="Times New Roman"/>
          <w:b/>
          <w:sz w:val="20"/>
        </w:rPr>
        <w:t xml:space="preserve">YOU SHOULD RELY ONLY ON THE INFORMATION CONTAINED IN THIS PROSPECTUS SUPPLEMENT AND THE ACCOMPANYING PROSPECTUS, INCLUDING THE INFORMATION INCORPORATED BY REFERENCE HEREIN AND THEREIN, AND ANY FREE WRITING PROSPECTUS PREPARED BY, OR ON BEHALF OF, US THAT RELATES TO THIS OFFERING OF THE NOTES. WE HAVE NOT, AND THE UNDERWRITERS HAVE NOT, AUTHORIZED ANY OTHER PERSON TO PROVIDE YOU WITH DIFFERENT OR ADDITIONAL INFORMATION. IF ANYONE PROVIDES YOU WITH DIFFERENT OR ADDITIONAL INFORMATION, YOU SHOULD NOT RELY ON IT. WE ARE NOT, AND THE UNDERWRITERS ARE NOT, MAKING AN OFFER TO SELL THESE NOTES IN ANY JURISDICTION WHERE THE OFFER OR SALE IS NOT PERMITTED. YOU SHOULD ASSUME THAT THE INFORMATION APPEARING IN THIS PROSPECTUS SUPPLEMENT AND THE ACCOMPANYING PROSPECTUS, INCLUDING THE INFORMATION INCORPORATED BY REFERENCE HEREIN AND THEREIN, AND ANY FREE WRITING PROSPECTUS PREPARED BY OR ON BEHALF OF US THAT RELATES TO THIS OFFERING OF NOTES IS ACCURATE ONLY AS OF ITS RESPECTIVE DATE, REGARDLESS OF THE TIME OF DELIVERY OF THIS PROSPECTUS SUPPLEMENT, THE ACCOMPANYING PROSPECTUS, ANY FREE WRITING PROSPECTUS OR ANY SALES OF THE NOTES. OUR BUSINESS, FINANCIAL CONDITION, RESULTS OF OPERATIONS AND PROSPECTS MAY HAVE CHANGED SINCE THOSE 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PROSPECTUS SUPPLEMENT SUMMARY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 xml:space="preserve">The following summary highlights some of the information included elsewhere, or incorporated by reference, in this prospectus supplement or the accompanying prospectus. It is not complete and may not contain all the information that you should consider before making any investment decision regarding the Notes offered hereby. To understand the terms of the Notes offered hereby before making any investment decision, you should carefully read this entire prospectus supplement and the accompanying prospectus, including the documents incorporated by reference herein or therein, and any free writing prospectus related to the offering of Notes, including “Supplementary Risk Factors,” “Risk Factors,” “Available Information,” “Incorporation by Reference,” and “Use of Proceeds” and the financial statements incorporated by reference in this prospectus supplement and the accompanying prospectus. Together, these documents describe the specific terms of the Notes we are offering. </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 xml:space="preserve">Fidus Investment Corporation, a Maryland corporation, operates as an externally managed, closed-end, non-diversified business development company (“BDC”) under the Investment Company Act of 1940, as amended (the “1940 Act”). FIC completed its initial public offering in June 2011. In addition, FIC has elected, and intends to qualify annually, to be treated as a regulated investment company (“RIC”) for U.S. federal income tax purposes under subchapter M of the Internal Revenue Code of 1986, as amended (the “Code”). As of September 30, 2025, our shares were listed on the Nasdaq Global Select Market under the symbol “FDUS.” </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 xml:space="preserve">FIC may make investments directly or through its two wholly owned investment company subsidiaries, Fidus Mezzanine Capital III, L.P. (“Fund III”) and Fidus Mezzanine Capital IV, L.P. (“Fund IV” and together with Fund III, the “SBIC Funds”). Fidus Investment GP, LLC, the general partner of the SBIC Funds, is also a wholly owned subsidiary of FIC. Each SBIC Fund is licensed by the U.S. Small Business Administration (the “SBA”) to operate as a small business investment company (“SBIC”). The SBIC Funds utilize the proceeds of the issuance of SBA-guaranteed debentures (“SBA debentures”) to enhance returns to our stockholders. We believe that utilizing both FIC and the SBIC Funds as investment vehicles provides us with access to a broader array of investment opportunities. Given our access to lower cost capital through the SBA’s SBIC debenture program, we expect that we will continue to make investments through the SBIC Funds until the earlier of the end of such fund’s investment period or when the fund reaches its borrowing limit under the SBA regulations. For two or more SBICs under common control, the maximum amount of outstanding SBA debentures cannot exceed $350.0 million. </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 xml:space="preserve">Unless otherwise noted in this prospectus supplement the terms “we,” “us,” “our,” the “Company,” “Fidus” and “FIC” refer to Fidus Investment Corporation and its consolidated subsidiaries. </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 xml:space="preserve">As used in this prospectus supplement, the term “our investment advisor” or “the Adviser” refers to Fidus Investment Advisors, LLC.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Fidus Investment Corporation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provide customized debt and equity financing solutions to lower middle-market companies, which we define as U.S. based companies having revenues between $10.0 million and $150.0 million. Our investment objective is to provide attractive risk-adjusted returns by generating both current income from our debt investments and capital appreciation from our equity related investments. Our investment strategy includes partnering with business owners, management teams and financial sponsors by providing customized financing for ownership transactions, recapitalizations, strategic acquisitions, business expansion and other growth initiatives. We seek to maintain a diversified portfolio of investments in order to help mitigate the potential effects of adverse economic events related to particular companies, regions or industries.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We invest in companies that possess some or all of the following attributes: predictable revenues; positive cash flows; defensible and/or leading market positions; diversified customer and supplier bases; and proven management teams with strong operating discipline. We target companies in the lower middle-market with annual earnings, before interest, taxes, depreciation and amortization, or EBITDA, between $5.0 million and $30.0 million; however, we may from time to time opportunistically make investments in larger or smaller companies. Our investments typically range between $5.0 million and $35.0 million per portfolio company.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of June 30, 2025, the fair value of our investment portfolio totaled $1.1 billion and consisted of 92 active portfolio companies and five portfolio companies that have sold their underlying operations.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See “Business” in Part I, Item 1 in our most recent Annual Report on Form 10-K for additional information about us and our investment advisor.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Risks Associated with Our Business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business is subject to numerous risks, as described in the section titled “Supplementary Risk Factors” in this prospectus supplement, “Risk Factors” in the accompanying prospectus and in any free writing prospectuses we have authorized for use in connection with this offering, and under similar headings in the documents that are incorporated by reference into this prospectus supplement and the accompanying prospectus, including the section titled “Risk Factors” included in our most recent Annual Report on Form 10-K as well as in any of our subsequent SEC filings.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THE OFFERING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prospectus supplement sets forth certain terms of the Notes that we are offering pursuant to this prospectus supplement and supplements the accompanying prospectus that is attached to the back of this prospectus supplement. On March 19, 2025, we and U.S. Bank Trust Company, National Association (as successor in interest to U.S. Bank National Association), as trustee (the “trustee”) entered into the sixth supplemental indenture to the base indenture, dated as of February 2, 2018, relating to the Existing Notes. We will issue the Notes offered hereby under the same base indenture and the sixth supplemental indenture, which we refer to collectively as the “indenture.” The Notes offered hereby will be a further issuance of, rank equally in right of payment with, and form a single series with the Existing Notes for all purposes under the indenture, including, without limitation, waivers, amendments, consents, redemptions and other offers to purchase and voting. We refer to the “Notes” and the “Existing Notes” separately within this prospectus supplement because only the Notes are being offered hereby, but any general discussion of the terms of the Notes also would apply to the Existing Notes because they are treated as the same under the indenture. This section outlines the specific legal and financial terms of the Notes. You should read this section together with the section titled “Description of the Notes” and the more general description of our debt securities in the accompanying prospectus under the heading “Description of Our Debt Securities” before investing in the Notes. </w:t>
      </w:r>
    </w:p>
    <w:p>
      <w:pPr>
        <w:pStyle w:val="TextBody"/>
        <w:bidi w:val="0"/>
        <w:spacing w:before="0" w:after="0"/>
        <w:jc w:val="left"/>
        <w:rPr>
          <w:bdr w:val="single" w:sz="8" w:space="1" w:color="000000"/>
        </w:rPr>
      </w:pPr>
      <w:r>
        <w:rPr>
          <w:bdr w:val="single" w:sz="8" w:space="1" w:color="000000"/>
        </w:rPr>
        <w:t> </w:t>
      </w:r>
    </w:p>
    <w:tbl>
      <w:tblPr>
        <w:tblW w:w="3460" w:type="dxa"/>
        <w:jc w:val="left"/>
        <w:tblInd w:w="0" w:type="dxa"/>
        <w:tblLayout w:type="fixed"/>
        <w:tblCellMar>
          <w:top w:w="0" w:type="dxa"/>
          <w:left w:w="0" w:type="dxa"/>
          <w:bottom w:w="0" w:type="dxa"/>
          <w:right w:w="0" w:type="dxa"/>
        </w:tblCellMar>
      </w:tblPr>
      <w:tblGrid>
        <w:gridCol w:w="545"/>
        <w:gridCol w:w="2915"/>
      </w:tblGrid>
      <w:tr>
        <w:trPr/>
        <w:tc>
          <w:tcPr>
            <w:tcW w:w="545" w:type="dxa"/>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Issuer</w:t>
            </w:r>
          </w:p>
        </w:tc>
        <w:tc>
          <w:tcPr>
            <w:tcW w:w="2915" w:type="dxa"/>
            <w:tcBorders/>
            <w:vAlign w:val="center"/>
          </w:tcPr>
          <w:p>
            <w:pPr>
              <w:pStyle w:val="TableContents"/>
              <w:bidi w:val="0"/>
              <w:spacing w:before="0" w:after="283"/>
              <w:jc w:val="left"/>
              <w:rPr/>
            </w:pPr>
            <w:r>
              <w:rPr/>
              <w:t xml:space="preserve">Fidus Investment Corporation </w:t>
            </w:r>
          </w:p>
        </w:tc>
      </w:tr>
    </w:tbl>
    <w:p>
      <w:pPr>
        <w:pStyle w:val="TextBody"/>
        <w:bidi w:val="0"/>
        <w:spacing w:before="0" w:after="0"/>
        <w:jc w:val="left"/>
        <w:rPr>
          <w:bdr w:val="single" w:sz="8" w:space="1" w:color="000000"/>
        </w:rPr>
      </w:pPr>
      <w:r>
        <w:rPr>
          <w:bdr w:val="single" w:sz="8" w:space="1" w:color="000000"/>
        </w:rPr>
        <w:t> </w:t>
      </w:r>
    </w:p>
    <w:tbl>
      <w:tblPr>
        <w:tblW w:w="4180" w:type="dxa"/>
        <w:jc w:val="left"/>
        <w:tblInd w:w="0" w:type="dxa"/>
        <w:tblLayout w:type="fixed"/>
        <w:tblCellMar>
          <w:top w:w="0" w:type="dxa"/>
          <w:left w:w="0" w:type="dxa"/>
          <w:bottom w:w="0" w:type="dxa"/>
          <w:right w:w="0" w:type="dxa"/>
        </w:tblCellMar>
      </w:tblPr>
      <w:tblGrid>
        <w:gridCol w:w="1790"/>
        <w:gridCol w:w="2390"/>
      </w:tblGrid>
      <w:tr>
        <w:trPr/>
        <w:tc>
          <w:tcPr>
            <w:tcW w:w="1790" w:type="dxa"/>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Title of the securities</w:t>
            </w:r>
          </w:p>
        </w:tc>
        <w:tc>
          <w:tcPr>
            <w:tcW w:w="2390" w:type="dxa"/>
            <w:tcBorders/>
            <w:vAlign w:val="center"/>
          </w:tcPr>
          <w:p>
            <w:pPr>
              <w:pStyle w:val="TableContents"/>
              <w:bidi w:val="0"/>
              <w:spacing w:before="0" w:after="283"/>
              <w:jc w:val="left"/>
              <w:rPr/>
            </w:pPr>
            <w:r>
              <w:rPr/>
              <w:t xml:space="preserve">6.750% Notes due 2030 </w:t>
            </w:r>
          </w:p>
        </w:tc>
      </w:tr>
    </w:tbl>
    <w:p>
      <w:pPr>
        <w:pStyle w:val="TextBody"/>
        <w:bidi w:val="0"/>
        <w:spacing w:before="0" w:after="0"/>
        <w:jc w:val="left"/>
        <w:rPr>
          <w:bdr w:val="single" w:sz="8" w:space="1" w:color="000000"/>
        </w:rPr>
      </w:pPr>
      <w:r>
        <w:rPr>
          <w:bdr w:val="single" w:sz="8" w:space="1" w:color="000000"/>
        </w:rPr>
        <w:t> </w:t>
      </w:r>
    </w:p>
    <w:tbl>
      <w:tblPr>
        <w:tblW w:w="3850" w:type="dxa"/>
        <w:jc w:val="left"/>
        <w:tblInd w:w="0" w:type="dxa"/>
        <w:tblLayout w:type="fixed"/>
        <w:tblCellMar>
          <w:top w:w="0" w:type="dxa"/>
          <w:left w:w="0" w:type="dxa"/>
          <w:bottom w:w="0" w:type="dxa"/>
          <w:right w:w="0" w:type="dxa"/>
        </w:tblCellMar>
      </w:tblPr>
      <w:tblGrid>
        <w:gridCol w:w="2435"/>
        <w:gridCol w:w="1415"/>
      </w:tblGrid>
      <w:tr>
        <w:trPr/>
        <w:tc>
          <w:tcPr>
            <w:tcW w:w="2435" w:type="dxa"/>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Aggregate principal amount</w:t>
            </w:r>
          </w:p>
          <w:p>
            <w:pPr>
              <w:pStyle w:val="TableContents"/>
              <w:bidi w:val="0"/>
              <w:spacing w:before="0" w:after="20"/>
              <w:jc w:val="left"/>
              <w:rPr>
                <w:rFonts w:ascii="Times New Roman" w:hAnsi="Times New Roman"/>
                <w:b/>
                <w:sz w:val="20"/>
              </w:rPr>
            </w:pPr>
            <w:r>
              <w:rPr>
                <w:rFonts w:ascii="Times New Roman" w:hAnsi="Times New Roman"/>
                <w:b/>
                <w:sz w:val="20"/>
              </w:rPr>
              <w:t>being offered</w:t>
            </w:r>
          </w:p>
        </w:tc>
        <w:tc>
          <w:tcPr>
            <w:tcW w:w="1415" w:type="dxa"/>
            <w:tcBorders/>
            <w:vAlign w:val="center"/>
          </w:tcPr>
          <w:p>
            <w:pPr>
              <w:pStyle w:val="TableContents"/>
              <w:bidi w:val="0"/>
              <w:spacing w:before="0" w:after="283"/>
              <w:jc w:val="left"/>
              <w:rPr/>
            </w:pPr>
            <w:r>
              <w:rPr/>
              <w:t xml:space="preserve">$100,000,000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The Notes offered hereby are a further issuance of the Existing Notes. The Notes offered hereby will be treated as a single series with the Existing Notes under the indenture and will have the same terms as the Existing Notes. The Notes offered hereby will have the same CUSIP number and will be fungible and rank equally with the Existing Notes. Upon the issuance of the Notes offered hereby, the outstanding aggregate principal amount of our 6.750% Notes due 2030 will be $200,000,000.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957"/>
        <w:gridCol w:w="9248"/>
      </w:tblGrid>
      <w:tr>
        <w:trPr/>
        <w:tc>
          <w:tcPr>
            <w:tcW w:w="957" w:type="dxa"/>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Public offering price</w:t>
            </w:r>
          </w:p>
        </w:tc>
        <w:tc>
          <w:tcPr>
            <w:tcW w:w="9248" w:type="dxa"/>
            <w:tcBorders/>
            <w:vAlign w:val="center"/>
          </w:tcPr>
          <w:p>
            <w:pPr>
              <w:pStyle w:val="TableContents"/>
              <w:bidi w:val="0"/>
              <w:spacing w:before="0" w:after="283"/>
              <w:jc w:val="left"/>
              <w:rPr/>
            </w:pPr>
            <w:r>
              <w:rPr/>
              <w:t xml:space="preserve">100.705% of the aggregate principal amount of the Notes offered hereby, plus the Aggregate Accrued Interest (as defined below). On March 19, 2026, we will pay the Aggregate Accrued Interest to the holders of the Notes offered hereby as of the applicable record date, along with the interest accrued on the Notes offered hereby from the date of delivery to such interest payment date.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646"/>
        <w:gridCol w:w="8559"/>
      </w:tblGrid>
      <w:tr>
        <w:trPr/>
        <w:tc>
          <w:tcPr>
            <w:tcW w:w="1646" w:type="dxa"/>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Aggregate Accrued Interest</w:t>
            </w:r>
          </w:p>
        </w:tc>
        <w:tc>
          <w:tcPr>
            <w:tcW w:w="8559" w:type="dxa"/>
            <w:tcBorders/>
            <w:vAlign w:val="center"/>
          </w:tcPr>
          <w:p>
            <w:pPr>
              <w:pStyle w:val="TableContents"/>
              <w:bidi w:val="0"/>
              <w:spacing w:before="0" w:after="0"/>
              <w:jc w:val="left"/>
              <w:rPr/>
            </w:pPr>
            <w:r>
              <w:rPr/>
              <w:t>$262,500 of accrued and unpaid interest from and including September 19, 2025 up to, but not including, the date of delivery of the Notes which is expected to be O</w:t>
            </w:r>
          </w:p>
          <w:p>
            <w:pPr>
              <w:pStyle w:val="TableContents"/>
              <w:bidi w:val="0"/>
              <w:spacing w:before="0" w:after="0"/>
              <w:jc w:val="left"/>
              <w:rPr/>
            </w:pPr>
            <w:r>
              <w:rPr/>
              <w:t>ct</w:t>
            </w:r>
          </w:p>
          <w:p>
            <w:pPr>
              <w:pStyle w:val="TableContents"/>
              <w:bidi w:val="0"/>
              <w:spacing w:before="0" w:after="0"/>
              <w:jc w:val="left"/>
              <w:rPr/>
            </w:pPr>
            <w:r>
              <w:rPr/>
              <w:t xml:space="preserve">ober 3, 2025 (the “Aggregate Accrued Interest”).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381"/>
        <w:gridCol w:w="8824"/>
      </w:tblGrid>
      <w:tr>
        <w:trPr/>
        <w:tc>
          <w:tcPr>
            <w:tcW w:w="1381" w:type="dxa"/>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Principal payable at maturity</w:t>
            </w:r>
          </w:p>
        </w:tc>
        <w:tc>
          <w:tcPr>
            <w:tcW w:w="8824" w:type="dxa"/>
            <w:tcBorders/>
            <w:vAlign w:val="center"/>
          </w:tcPr>
          <w:p>
            <w:pPr>
              <w:pStyle w:val="TableContents"/>
              <w:bidi w:val="0"/>
              <w:spacing w:before="0" w:after="283"/>
              <w:jc w:val="left"/>
              <w:rPr/>
            </w:pPr>
            <w:r>
              <w:rPr/>
              <w:t xml:space="preserve">100% of the aggregate principal amount. The outstanding principal amount of the Notes will be payable on the stated maturity date at the corporate trust office of the trustee, paying agent, and security registrar for the Notes or at such other office as we may designate.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828"/>
        <w:gridCol w:w="9377"/>
      </w:tblGrid>
      <w:tr>
        <w:trPr/>
        <w:tc>
          <w:tcPr>
            <w:tcW w:w="828" w:type="dxa"/>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Trading market</w:t>
            </w:r>
          </w:p>
        </w:tc>
        <w:tc>
          <w:tcPr>
            <w:tcW w:w="9377" w:type="dxa"/>
            <w:tcBorders/>
            <w:vAlign w:val="center"/>
          </w:tcPr>
          <w:p>
            <w:pPr>
              <w:pStyle w:val="TableContents"/>
              <w:bidi w:val="0"/>
              <w:spacing w:before="0" w:after="283"/>
              <w:jc w:val="left"/>
              <w:rPr/>
            </w:pPr>
            <w:r>
              <w:rPr/>
              <w:t xml:space="preserve">While a trading market developed after issuing the Existing Notes, we cannot assure you that an active and liquid market for the Notes will be maintained. The Notes will not be listed on any securities exchange or quoted on any automated dealer quotation system. Although certain of the underwriters have informed us that they intend to continue to make a market in the Notes, as permitted by applicable laws and regulations, they are not obligated to do so, and may discontinue any such market-making activities at any time without notice. Accordingly, we cannot assure you that an active and liquid market for the Notes will be maintained. </w:t>
            </w:r>
          </w:p>
        </w:tc>
      </w:tr>
    </w:tbl>
    <w:p>
      <w:pPr>
        <w:pStyle w:val="TextBody"/>
        <w:bidi w:val="0"/>
        <w:spacing w:before="0" w:after="0"/>
        <w:jc w:val="left"/>
        <w:rPr>
          <w:bdr w:val="single" w:sz="8" w:space="1" w:color="000000"/>
        </w:rPr>
      </w:pPr>
      <w:r>
        <w:rPr>
          <w:bdr w:val="single" w:sz="8" w:space="1" w:color="000000"/>
        </w:rPr>
        <w:t> </w:t>
      </w:r>
    </w:p>
    <w:tbl>
      <w:tblPr>
        <w:tblW w:w="2770" w:type="dxa"/>
        <w:jc w:val="left"/>
        <w:tblInd w:w="0" w:type="dxa"/>
        <w:tblLayout w:type="fixed"/>
        <w:tblCellMar>
          <w:top w:w="0" w:type="dxa"/>
          <w:left w:w="0" w:type="dxa"/>
          <w:bottom w:w="0" w:type="dxa"/>
          <w:right w:w="0" w:type="dxa"/>
        </w:tblCellMar>
      </w:tblPr>
      <w:tblGrid>
        <w:gridCol w:w="1115"/>
        <w:gridCol w:w="1655"/>
      </w:tblGrid>
      <w:tr>
        <w:trPr/>
        <w:tc>
          <w:tcPr>
            <w:tcW w:w="1115" w:type="dxa"/>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 xml:space="preserve">Interest rate </w:t>
            </w:r>
          </w:p>
        </w:tc>
        <w:tc>
          <w:tcPr>
            <w:tcW w:w="1655" w:type="dxa"/>
            <w:tcBorders/>
            <w:vAlign w:val="center"/>
          </w:tcPr>
          <w:p>
            <w:pPr>
              <w:pStyle w:val="TableContents"/>
              <w:bidi w:val="0"/>
              <w:spacing w:before="0" w:after="283"/>
              <w:jc w:val="left"/>
              <w:rPr/>
            </w:pPr>
            <w:r>
              <w:rPr/>
              <w:t xml:space="preserve">6.750% per year </w:t>
            </w:r>
          </w:p>
        </w:tc>
      </w:tr>
    </w:tbl>
    <w:p>
      <w:pPr>
        <w:pStyle w:val="TextBody"/>
        <w:bidi w:val="0"/>
        <w:spacing w:before="0" w:after="0"/>
        <w:jc w:val="left"/>
        <w:rPr>
          <w:bdr w:val="single" w:sz="8" w:space="1" w:color="000000"/>
        </w:rPr>
      </w:pPr>
      <w:r>
        <w:rPr>
          <w:bdr w:val="single" w:sz="8" w:space="1" w:color="000000"/>
        </w:rPr>
        <w:t> </w:t>
      </w:r>
    </w:p>
    <w:tbl>
      <w:tblPr>
        <w:tblW w:w="2320" w:type="dxa"/>
        <w:jc w:val="left"/>
        <w:tblInd w:w="0" w:type="dxa"/>
        <w:tblLayout w:type="fixed"/>
        <w:tblCellMar>
          <w:top w:w="0" w:type="dxa"/>
          <w:left w:w="0" w:type="dxa"/>
          <w:bottom w:w="0" w:type="dxa"/>
          <w:right w:w="0" w:type="dxa"/>
        </w:tblCellMar>
      </w:tblPr>
      <w:tblGrid>
        <w:gridCol w:w="1490"/>
        <w:gridCol w:w="830"/>
      </w:tblGrid>
      <w:tr>
        <w:trPr/>
        <w:tc>
          <w:tcPr>
            <w:tcW w:w="1490" w:type="dxa"/>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Yield to maturity</w:t>
            </w:r>
          </w:p>
        </w:tc>
        <w:tc>
          <w:tcPr>
            <w:tcW w:w="830" w:type="dxa"/>
            <w:tcBorders/>
            <w:vAlign w:val="center"/>
          </w:tcPr>
          <w:p>
            <w:pPr>
              <w:pStyle w:val="TableContents"/>
              <w:bidi w:val="0"/>
              <w:spacing w:before="0" w:after="283"/>
              <w:jc w:val="left"/>
              <w:rPr/>
            </w:pPr>
            <w:r>
              <w:rPr/>
              <w:t xml:space="preserve">6.564% </w:t>
            </w:r>
          </w:p>
        </w:tc>
      </w:tr>
    </w:tbl>
    <w:p>
      <w:pPr>
        <w:pStyle w:val="TextBody"/>
        <w:bidi w:val="0"/>
        <w:spacing w:before="0" w:after="0"/>
        <w:jc w:val="left"/>
        <w:rPr>
          <w:bdr w:val="single" w:sz="8" w:space="1" w:color="000000"/>
        </w:rPr>
      </w:pPr>
      <w:r>
        <w:rPr>
          <w:bdr w:val="single" w:sz="8" w:space="1" w:color="000000"/>
        </w:rPr>
        <w:t> </w:t>
      </w:r>
    </w:p>
    <w:tbl>
      <w:tblPr>
        <w:tblW w:w="5155" w:type="dxa"/>
        <w:jc w:val="left"/>
        <w:tblInd w:w="0" w:type="dxa"/>
        <w:tblLayout w:type="fixed"/>
        <w:tblCellMar>
          <w:top w:w="0" w:type="dxa"/>
          <w:left w:w="0" w:type="dxa"/>
          <w:bottom w:w="0" w:type="dxa"/>
          <w:right w:w="0" w:type="dxa"/>
        </w:tblCellMar>
      </w:tblPr>
      <w:tblGrid>
        <w:gridCol w:w="1400"/>
        <w:gridCol w:w="3755"/>
      </w:tblGrid>
      <w:tr>
        <w:trPr/>
        <w:tc>
          <w:tcPr>
            <w:tcW w:w="1400" w:type="dxa"/>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 xml:space="preserve">Day count basis </w:t>
            </w:r>
          </w:p>
        </w:tc>
        <w:tc>
          <w:tcPr>
            <w:tcW w:w="3755" w:type="dxa"/>
            <w:tcBorders/>
            <w:vAlign w:val="center"/>
          </w:tcPr>
          <w:p>
            <w:pPr>
              <w:pStyle w:val="TableContents"/>
              <w:bidi w:val="0"/>
              <w:spacing w:before="0" w:after="283"/>
              <w:jc w:val="left"/>
              <w:rPr/>
            </w:pPr>
            <w:r>
              <w:rPr/>
              <w:t xml:space="preserve">360-day year of twelve 30-day months </w:t>
            </w:r>
          </w:p>
        </w:tc>
      </w:tr>
    </w:tbl>
    <w:p>
      <w:pPr>
        <w:pStyle w:val="TextBody"/>
        <w:bidi w:val="0"/>
        <w:spacing w:before="0" w:after="0"/>
        <w:jc w:val="left"/>
        <w:rPr>
          <w:bdr w:val="single" w:sz="8" w:space="1" w:color="000000"/>
        </w:rPr>
      </w:pPr>
      <w:r>
        <w:rPr>
          <w:bdr w:val="single" w:sz="8" w:space="1" w:color="000000"/>
        </w:rPr>
        <w:t> </w:t>
      </w:r>
    </w:p>
    <w:tbl>
      <w:tblPr>
        <w:tblW w:w="2650" w:type="dxa"/>
        <w:jc w:val="left"/>
        <w:tblInd w:w="0" w:type="dxa"/>
        <w:tblLayout w:type="fixed"/>
        <w:tblCellMar>
          <w:top w:w="0" w:type="dxa"/>
          <w:left w:w="0" w:type="dxa"/>
          <w:bottom w:w="0" w:type="dxa"/>
          <w:right w:w="0" w:type="dxa"/>
        </w:tblCellMar>
      </w:tblPr>
      <w:tblGrid>
        <w:gridCol w:w="1010"/>
        <w:gridCol w:w="1640"/>
      </w:tblGrid>
      <w:tr>
        <w:trPr/>
        <w:tc>
          <w:tcPr>
            <w:tcW w:w="1010" w:type="dxa"/>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 xml:space="preserve">Trade date </w:t>
            </w:r>
          </w:p>
        </w:tc>
        <w:tc>
          <w:tcPr>
            <w:tcW w:w="1640" w:type="dxa"/>
            <w:tcBorders/>
            <w:vAlign w:val="center"/>
          </w:tcPr>
          <w:p>
            <w:pPr>
              <w:pStyle w:val="TableContents"/>
              <w:bidi w:val="0"/>
              <w:spacing w:before="0" w:after="283"/>
              <w:jc w:val="left"/>
              <w:rPr/>
            </w:pPr>
            <w:r>
              <w:rPr/>
              <w:t xml:space="preserve">October 1, 2025 </w:t>
            </w:r>
          </w:p>
        </w:tc>
      </w:tr>
    </w:tbl>
    <w:p>
      <w:pPr>
        <w:pStyle w:val="TextBody"/>
        <w:bidi w:val="0"/>
        <w:spacing w:before="0" w:after="0"/>
        <w:jc w:val="left"/>
        <w:rPr>
          <w:bdr w:val="single" w:sz="8" w:space="1" w:color="000000"/>
        </w:rPr>
      </w:pPr>
      <w:r>
        <w:rPr>
          <w:bdr w:val="single" w:sz="8" w:space="1" w:color="000000"/>
        </w:rPr>
        <w:t> </w:t>
      </w:r>
    </w:p>
    <w:tbl>
      <w:tblPr>
        <w:tblW w:w="2815" w:type="dxa"/>
        <w:jc w:val="left"/>
        <w:tblInd w:w="0" w:type="dxa"/>
        <w:tblLayout w:type="fixed"/>
        <w:tblCellMar>
          <w:top w:w="0" w:type="dxa"/>
          <w:left w:w="0" w:type="dxa"/>
          <w:bottom w:w="0" w:type="dxa"/>
          <w:right w:w="0" w:type="dxa"/>
        </w:tblCellMar>
      </w:tblPr>
      <w:tblGrid>
        <w:gridCol w:w="1205"/>
        <w:gridCol w:w="1610"/>
      </w:tblGrid>
      <w:tr>
        <w:trPr/>
        <w:tc>
          <w:tcPr>
            <w:tcW w:w="1205" w:type="dxa"/>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Maturity date</w:t>
            </w:r>
          </w:p>
        </w:tc>
        <w:tc>
          <w:tcPr>
            <w:tcW w:w="1610" w:type="dxa"/>
            <w:tcBorders/>
            <w:vAlign w:val="center"/>
          </w:tcPr>
          <w:p>
            <w:pPr>
              <w:pStyle w:val="TableContents"/>
              <w:bidi w:val="0"/>
              <w:spacing w:before="0" w:after="283"/>
              <w:jc w:val="left"/>
              <w:rPr/>
            </w:pPr>
            <w:r>
              <w:rPr/>
              <w:t xml:space="preserve">March 19, 2030 </w:t>
            </w:r>
          </w:p>
        </w:tc>
      </w:tr>
    </w:tbl>
    <w:p>
      <w:pPr>
        <w:pStyle w:val="TextBody"/>
        <w:bidi w:val="0"/>
        <w:spacing w:before="0" w:after="0"/>
        <w:jc w:val="left"/>
        <w:rPr>
          <w:bdr w:val="single" w:sz="8" w:space="1" w:color="000000"/>
        </w:rPr>
      </w:pPr>
      <w:r>
        <w:rPr>
          <w:bdr w:val="single" w:sz="8" w:space="1" w:color="000000"/>
        </w:rPr>
        <w:t> </w:t>
      </w:r>
    </w:p>
    <w:tbl>
      <w:tblPr>
        <w:tblW w:w="4045" w:type="dxa"/>
        <w:jc w:val="left"/>
        <w:tblInd w:w="0" w:type="dxa"/>
        <w:tblLayout w:type="fixed"/>
        <w:tblCellMar>
          <w:top w:w="0" w:type="dxa"/>
          <w:left w:w="0" w:type="dxa"/>
          <w:bottom w:w="0" w:type="dxa"/>
          <w:right w:w="0" w:type="dxa"/>
        </w:tblCellMar>
      </w:tblPr>
      <w:tblGrid>
        <w:gridCol w:w="2405"/>
        <w:gridCol w:w="1640"/>
      </w:tblGrid>
      <w:tr>
        <w:trPr/>
        <w:tc>
          <w:tcPr>
            <w:tcW w:w="2405" w:type="dxa"/>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Date interest starts accruing</w:t>
            </w:r>
          </w:p>
        </w:tc>
        <w:tc>
          <w:tcPr>
            <w:tcW w:w="1640" w:type="dxa"/>
            <w:tcBorders/>
            <w:vAlign w:val="center"/>
          </w:tcPr>
          <w:p>
            <w:pPr>
              <w:pStyle w:val="TableContents"/>
              <w:bidi w:val="0"/>
              <w:spacing w:before="0" w:after="283"/>
              <w:jc w:val="left"/>
              <w:rPr/>
            </w:pPr>
            <w:r>
              <w:rPr/>
              <w:t xml:space="preserve">October 3, 2025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081"/>
        <w:gridCol w:w="9124"/>
      </w:tblGrid>
      <w:tr>
        <w:trPr/>
        <w:tc>
          <w:tcPr>
            <w:tcW w:w="1081" w:type="dxa"/>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 xml:space="preserve">Interest payment dates </w:t>
            </w:r>
          </w:p>
        </w:tc>
        <w:tc>
          <w:tcPr>
            <w:tcW w:w="9124" w:type="dxa"/>
            <w:tcBorders/>
            <w:vAlign w:val="center"/>
          </w:tcPr>
          <w:p>
            <w:pPr>
              <w:pStyle w:val="TableContents"/>
              <w:bidi w:val="0"/>
              <w:spacing w:before="0" w:after="283"/>
              <w:jc w:val="left"/>
              <w:rPr/>
            </w:pPr>
            <w:r>
              <w:rPr/>
              <w:t xml:space="preserve">Each March 19 and September 19. If an interest payment date falls on a non-business day, the applicable interest payment will be made on the next business day and no additional interest will accrue as a result of such delayed payment. The interest payment we will make on March 19, 2026 will include the Aggregate Accrued Interest. </w:t>
            </w:r>
          </w:p>
        </w:tc>
      </w:tr>
    </w:tbl>
    <w:p>
      <w:pPr>
        <w:pStyle w:val="TextBody"/>
        <w:bidi w:val="0"/>
        <w:spacing w:before="0" w:after="0"/>
        <w:jc w:val="left"/>
        <w:rPr>
          <w:bdr w:val="single" w:sz="8" w:space="1" w:color="000000"/>
        </w:rPr>
      </w:pPr>
      <w:r>
        <w:rPr>
          <w:bdr w:val="single" w:sz="8" w:space="1" w:color="000000"/>
        </w:rPr>
        <w:t> </w:t>
      </w:r>
    </w:p>
    <w:tbl>
      <w:tblPr>
        <w:tblW w:w="2890" w:type="dxa"/>
        <w:jc w:val="left"/>
        <w:tblInd w:w="0" w:type="dxa"/>
        <w:tblLayout w:type="fixed"/>
        <w:tblCellMar>
          <w:top w:w="0" w:type="dxa"/>
          <w:left w:w="0" w:type="dxa"/>
          <w:bottom w:w="0" w:type="dxa"/>
          <w:right w:w="0" w:type="dxa"/>
        </w:tblCellMar>
      </w:tblPr>
      <w:tblGrid>
        <w:gridCol w:w="1610"/>
        <w:gridCol w:w="1280"/>
      </w:tblGrid>
      <w:tr>
        <w:trPr/>
        <w:tc>
          <w:tcPr>
            <w:tcW w:w="1610" w:type="dxa"/>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Specified currency</w:t>
            </w:r>
          </w:p>
        </w:tc>
        <w:tc>
          <w:tcPr>
            <w:tcW w:w="1280" w:type="dxa"/>
            <w:tcBorders/>
            <w:vAlign w:val="center"/>
          </w:tcPr>
          <w:p>
            <w:pPr>
              <w:pStyle w:val="TableContents"/>
              <w:bidi w:val="0"/>
              <w:spacing w:before="0" w:after="283"/>
              <w:jc w:val="left"/>
              <w:rPr/>
            </w:pPr>
            <w:r>
              <w:rPr/>
              <w:t xml:space="preserve">U.S. Dollars </w:t>
            </w:r>
          </w:p>
        </w:tc>
      </w:tr>
    </w:tbl>
    <w:p>
      <w:pPr>
        <w:pStyle w:val="TextBody"/>
        <w:bidi w:val="0"/>
        <w:spacing w:before="0" w:after="0"/>
        <w:jc w:val="left"/>
        <w:rPr>
          <w:bdr w:val="single" w:sz="8" w:space="1" w:color="000000"/>
        </w:rPr>
      </w:pPr>
      <w:r>
        <w:rPr>
          <w:bdr w:val="single" w:sz="8" w:space="1" w:color="000000"/>
        </w:rPr>
        <w:t> </w:t>
      </w:r>
    </w:p>
    <w:tbl>
      <w:tblPr>
        <w:tblW w:w="7240" w:type="dxa"/>
        <w:jc w:val="left"/>
        <w:tblInd w:w="0" w:type="dxa"/>
        <w:tblLayout w:type="fixed"/>
        <w:tblCellMar>
          <w:top w:w="0" w:type="dxa"/>
          <w:left w:w="0" w:type="dxa"/>
          <w:bottom w:w="0" w:type="dxa"/>
          <w:right w:w="0" w:type="dxa"/>
        </w:tblCellMar>
      </w:tblPr>
      <w:tblGrid>
        <w:gridCol w:w="1790"/>
        <w:gridCol w:w="5450"/>
      </w:tblGrid>
      <w:tr>
        <w:trPr/>
        <w:tc>
          <w:tcPr>
            <w:tcW w:w="1790" w:type="dxa"/>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 xml:space="preserve">Ranking of the notes </w:t>
            </w:r>
          </w:p>
        </w:tc>
        <w:tc>
          <w:tcPr>
            <w:tcW w:w="5450" w:type="dxa"/>
            <w:tcBorders/>
            <w:vAlign w:val="center"/>
          </w:tcPr>
          <w:p>
            <w:pPr>
              <w:pStyle w:val="TableContents"/>
              <w:bidi w:val="0"/>
              <w:spacing w:before="0" w:after="283"/>
              <w:jc w:val="left"/>
              <w:rPr/>
            </w:pPr>
            <w:r>
              <w:rPr/>
              <w:t xml:space="preserve">The Notes are our direct unsecured obligations and rank: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pari passu</w:t>
            </w:r>
          </w:p>
          <w:p>
            <w:pPr>
              <w:pStyle w:val="TableContents"/>
              <w:bidi w:val="0"/>
              <w:spacing w:before="0" w:after="0"/>
              <w:jc w:val="left"/>
              <w:rPr>
                <w:rFonts w:ascii="Times New Roman" w:hAnsi="Times New Roman"/>
                <w:sz w:val="20"/>
              </w:rPr>
            </w:pPr>
            <w:r>
              <w:rPr>
                <w:rFonts w:ascii="Times New Roman" w:hAnsi="Times New Roman"/>
                <w:sz w:val="20"/>
              </w:rPr>
              <w:t xml:space="preserve">with our existing and future unsecured, unsubordinated indebtedness, including, as of September 30, 2025, $100.0 million in aggregate principal amount outstanding of our 4.75% notes due 2026 (the “January 2026 Notes”) (which we intend to redeem in full using the proceeds from this offering), $125.0 million in aggregate principal amount outstanding of our 3.50% notes due 2026 (the “November 2026 Notes”), and $100.0 million in aggregate principal amount outstanding of the Existing Notes; </w:t>
            </w:r>
          </w:p>
        </w:tc>
      </w:tr>
    </w:tbl>
    <w:p>
      <w:pPr>
        <w:pStyle w:val="TextBody"/>
        <w:bidi w:val="0"/>
        <w:spacing w:before="0" w:after="0"/>
        <w:jc w:val="left"/>
        <w:rPr>
          <w:bdr w:val="single" w:sz="8" w:space="1" w:color="000000"/>
        </w:rPr>
      </w:pPr>
      <w:r>
        <w:rPr>
          <w:bdr w:val="single" w:sz="8" w:space="1" w:color="000000"/>
        </w:rPr>
        <w:t> </w:t>
      </w:r>
    </w:p>
    <w:tbl>
      <w:tblPr>
        <w:tblW w:w="5890" w:type="dxa"/>
        <w:jc w:val="left"/>
        <w:tblInd w:w="0" w:type="dxa"/>
        <w:tblLayout w:type="fixed"/>
        <w:tblCellMar>
          <w:top w:w="0" w:type="dxa"/>
          <w:left w:w="0" w:type="dxa"/>
          <w:bottom w:w="0" w:type="dxa"/>
          <w:right w:w="0" w:type="dxa"/>
        </w:tblCellMar>
      </w:tblPr>
      <w:tblGrid>
        <w:gridCol w:w="75"/>
        <w:gridCol w:w="110"/>
        <w:gridCol w:w="60"/>
        <w:gridCol w:w="56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senior to any series of preferred stock that we may issue in the future; </w:t>
            </w:r>
          </w:p>
        </w:tc>
      </w:tr>
    </w:tbl>
    <w:p>
      <w:pPr>
        <w:pStyle w:val="TextBody"/>
        <w:bidi w:val="0"/>
        <w:spacing w:before="0" w:after="0"/>
        <w:jc w:val="left"/>
        <w:rPr>
          <w:bdr w:val="single" w:sz="8" w:space="1" w:color="000000"/>
        </w:rPr>
      </w:pPr>
      <w:r>
        <w:rPr>
          <w:bdr w:val="single" w:sz="8" w:space="1" w:color="000000"/>
        </w:rPr>
        <w:t> </w:t>
      </w:r>
    </w:p>
    <w:tbl>
      <w:tblPr>
        <w:tblW w:w="7990" w:type="dxa"/>
        <w:jc w:val="left"/>
        <w:tblInd w:w="0" w:type="dxa"/>
        <w:tblLayout w:type="fixed"/>
        <w:tblCellMar>
          <w:top w:w="0" w:type="dxa"/>
          <w:left w:w="0" w:type="dxa"/>
          <w:bottom w:w="0" w:type="dxa"/>
          <w:right w:w="0" w:type="dxa"/>
        </w:tblCellMar>
      </w:tblPr>
      <w:tblGrid>
        <w:gridCol w:w="75"/>
        <w:gridCol w:w="110"/>
        <w:gridCol w:w="60"/>
        <w:gridCol w:w="77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senior to any of our future indebtedness that expressly provides it is subordinated to the Notes;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effectively subordinated to all our existing and future secured indebtedness (including indebtedness that is initially unsecured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which we subsequently grant security), to the extent of the value of the assets securing such indebtedness, including, without limitation, as of September 30, 2025, $15.0 million in outstanding borrowings under our senior secured revolving credit facility with ING Capital LLC (the “Credit Facility”), and $12.8 million in our secured borrowings; and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structurally subordinated to all existing and future indebtedness and other obligations of any of our subsidiaries, including, without limitation, the SBA debentures of which $191.0 million was outstanding as of September 30, 2025. </w:t>
            </w:r>
          </w:p>
        </w:tc>
      </w:tr>
    </w:tbl>
    <w:p>
      <w:pPr>
        <w:pStyle w:val="TextBody"/>
        <w:bidi w:val="0"/>
        <w:spacing w:before="0" w:after="0"/>
        <w:jc w:val="left"/>
        <w:rPr>
          <w:bdr w:val="single" w:sz="8" w:space="1" w:color="000000"/>
        </w:rPr>
      </w:pPr>
      <w:r>
        <w:rPr>
          <w:bdr w:val="single" w:sz="8" w:space="1" w:color="000000"/>
        </w:rPr>
        <w:t> </w:t>
      </w:r>
    </w:p>
    <w:tbl>
      <w:tblPr>
        <w:tblW w:w="9335" w:type="dxa"/>
        <w:jc w:val="left"/>
        <w:tblInd w:w="0" w:type="dxa"/>
        <w:tblLayout w:type="fixed"/>
        <w:tblCellMar>
          <w:top w:w="0" w:type="dxa"/>
          <w:left w:w="0" w:type="dxa"/>
          <w:bottom w:w="0" w:type="dxa"/>
          <w:right w:w="0" w:type="dxa"/>
        </w:tblCellMar>
      </w:tblPr>
      <w:tblGrid>
        <w:gridCol w:w="75"/>
        <w:gridCol w:w="9260"/>
      </w:tblGrid>
      <w:tr>
        <w:trPr/>
        <w:tc>
          <w:tcPr>
            <w:tcW w:w="75" w:type="dxa"/>
            <w:tcBorders/>
            <w:vAlign w:val="center"/>
          </w:tcPr>
          <w:p>
            <w:pPr>
              <w:pStyle w:val="TableContents"/>
              <w:bidi w:val="0"/>
              <w:spacing w:before="0" w:after="283"/>
              <w:jc w:val="left"/>
              <w:rPr/>
            </w:pPr>
            <w:r>
              <w:rPr/>
              <w:t> </w:t>
            </w:r>
          </w:p>
        </w:tc>
        <w:tc>
          <w:tcPr>
            <w:tcW w:w="9260" w:type="dxa"/>
            <w:tcBorders/>
            <w:vAlign w:val="center"/>
          </w:tcPr>
          <w:p>
            <w:pPr>
              <w:pStyle w:val="TableContents"/>
              <w:bidi w:val="0"/>
              <w:spacing w:before="0" w:after="283"/>
              <w:jc w:val="left"/>
              <w:rPr/>
            </w:pPr>
            <w:r>
              <w:rPr/>
              <w:t xml:space="preserve">As of September 30, 2025, our total outstanding indebtedness was approximately $543.8 million.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310"/>
        <w:gridCol w:w="8895"/>
      </w:tblGrid>
      <w:tr>
        <w:trPr/>
        <w:tc>
          <w:tcPr>
            <w:tcW w:w="1310" w:type="dxa"/>
            <w:tcBorders/>
            <w:vAlign w:val="center"/>
          </w:tcPr>
          <w:p>
            <w:pPr>
              <w:pStyle w:val="TableContents"/>
              <w:bidi w:val="0"/>
              <w:spacing w:before="0" w:after="20"/>
              <w:jc w:val="left"/>
              <w:rPr>
                <w:rFonts w:ascii="Times New Roman" w:hAnsi="Times New Roman"/>
                <w:b/>
                <w:spacing w:val="0"/>
                <w:sz w:val="20"/>
              </w:rPr>
            </w:pPr>
            <w:r>
              <w:rPr>
                <w:rFonts w:ascii="Times New Roman" w:hAnsi="Times New Roman"/>
                <w:b/>
                <w:spacing w:val="0"/>
                <w:sz w:val="20"/>
              </w:rPr>
              <w:t>Denominations</w:t>
            </w:r>
          </w:p>
        </w:tc>
        <w:tc>
          <w:tcPr>
            <w:tcW w:w="8895" w:type="dxa"/>
            <w:tcBorders/>
            <w:vAlign w:val="center"/>
          </w:tcPr>
          <w:p>
            <w:pPr>
              <w:pStyle w:val="TableContents"/>
              <w:bidi w:val="0"/>
              <w:spacing w:before="0" w:after="283"/>
              <w:jc w:val="left"/>
              <w:rPr/>
            </w:pPr>
            <w:r>
              <w:rPr/>
              <w:t xml:space="preserve">We will issue the Notes in minimum denominations of $2,000 and integral multiples of $1,000 in excess thereof.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911"/>
        <w:gridCol w:w="9294"/>
      </w:tblGrid>
      <w:tr>
        <w:trPr/>
        <w:tc>
          <w:tcPr>
            <w:tcW w:w="911" w:type="dxa"/>
            <w:tcBorders/>
            <w:vAlign w:val="center"/>
          </w:tcPr>
          <w:p>
            <w:pPr>
              <w:pStyle w:val="TableContents"/>
              <w:bidi w:val="0"/>
              <w:spacing w:before="0" w:after="20"/>
              <w:jc w:val="left"/>
              <w:rPr>
                <w:rFonts w:ascii="Times New Roman" w:hAnsi="Times New Roman"/>
                <w:b/>
                <w:spacing w:val="0"/>
                <w:sz w:val="20"/>
              </w:rPr>
            </w:pPr>
            <w:r>
              <w:rPr>
                <w:rFonts w:ascii="Times New Roman" w:hAnsi="Times New Roman"/>
                <w:b/>
                <w:spacing w:val="0"/>
                <w:sz w:val="20"/>
              </w:rPr>
              <w:t>Business day</w:t>
            </w:r>
          </w:p>
        </w:tc>
        <w:tc>
          <w:tcPr>
            <w:tcW w:w="9294" w:type="dxa"/>
            <w:tcBorders/>
            <w:vAlign w:val="center"/>
          </w:tcPr>
          <w:p>
            <w:pPr>
              <w:pStyle w:val="TableContents"/>
              <w:bidi w:val="0"/>
              <w:spacing w:before="0" w:after="283"/>
              <w:jc w:val="left"/>
              <w:rPr/>
            </w:pPr>
            <w:r>
              <w:rPr/>
              <w:t xml:space="preserve">Each Monday, Tuesday, Wednesday, Thursday and Friday that is not a day on which banking institutions in New York City or the place of payment are authorized or required by law or executive order to close.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084"/>
        <w:gridCol w:w="9121"/>
      </w:tblGrid>
      <w:tr>
        <w:trPr/>
        <w:tc>
          <w:tcPr>
            <w:tcW w:w="1084" w:type="dxa"/>
            <w:tcBorders/>
            <w:vAlign w:val="center"/>
          </w:tcPr>
          <w:p>
            <w:pPr>
              <w:pStyle w:val="TableContents"/>
              <w:bidi w:val="0"/>
              <w:spacing w:before="0" w:after="20"/>
              <w:jc w:val="left"/>
              <w:rPr>
                <w:rFonts w:ascii="Times New Roman" w:hAnsi="Times New Roman"/>
                <w:b/>
                <w:spacing w:val="0"/>
                <w:sz w:val="20"/>
              </w:rPr>
            </w:pPr>
            <w:r>
              <w:rPr>
                <w:rFonts w:ascii="Times New Roman" w:hAnsi="Times New Roman"/>
                <w:b/>
                <w:spacing w:val="0"/>
                <w:sz w:val="20"/>
              </w:rPr>
              <w:t>Optional redemption</w:t>
            </w:r>
          </w:p>
        </w:tc>
        <w:tc>
          <w:tcPr>
            <w:tcW w:w="9121" w:type="dxa"/>
            <w:tcBorders/>
            <w:vAlign w:val="center"/>
          </w:tcPr>
          <w:p>
            <w:pPr>
              <w:pStyle w:val="TableContents"/>
              <w:bidi w:val="0"/>
              <w:spacing w:before="0" w:after="283"/>
              <w:jc w:val="left"/>
              <w:rPr/>
            </w:pPr>
            <w:r>
              <w:rPr/>
              <w:t xml:space="preserve">Prior to September 19, 2029 (six months prior to the maturity date of the Notes) (the “Par Call Date”), we may redeem the Notes at our option, in whole or in part, at any time and from time to time, at a redemption price (expressed as a percentage of the principal amount and rounded to three decimal places) equal to the greater of: (1)(a)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(as defined below) plus 50 basis points less (b) interest accrued to the date of redemption, and (2) 100% of the principal amount of the Notes to be redeemed, plus, in either case, accrued and unpaid interest thereon to, but not including, the redemption date.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On or after the Par Call Date, we may redeem the Notes, in whole or in part, at any time and from time to time, at a redemption price equal to 100% of the principal amount of the Notes being redeemed plus accrued and unpaid interest thereon to, but not including, the redemption date. </w:t>
            </w:r>
          </w:p>
        </w:tc>
      </w:tr>
    </w:tbl>
    <w:p>
      <w:pPr>
        <w:pStyle w:val="TextBody"/>
        <w:bidi w:val="0"/>
        <w:spacing w:before="0" w:after="0"/>
        <w:jc w:val="left"/>
        <w:rPr>
          <w:bdr w:val="single" w:sz="8" w:space="1" w:color="000000"/>
        </w:rPr>
      </w:pPr>
      <w:r>
        <w:rPr>
          <w:bdr w:val="single" w:sz="8" w:space="1" w:color="000000"/>
        </w:rPr>
        <w:t> </w:t>
      </w:r>
    </w:p>
    <w:tbl>
      <w:tblPr>
        <w:tblW w:w="5920" w:type="dxa"/>
        <w:jc w:val="left"/>
        <w:tblInd w:w="0" w:type="dxa"/>
        <w:tblLayout w:type="fixed"/>
        <w:tblCellMar>
          <w:top w:w="0" w:type="dxa"/>
          <w:left w:w="0" w:type="dxa"/>
          <w:bottom w:w="0" w:type="dxa"/>
          <w:right w:w="0" w:type="dxa"/>
        </w:tblCellMar>
      </w:tblPr>
      <w:tblGrid>
        <w:gridCol w:w="1100"/>
        <w:gridCol w:w="4820"/>
      </w:tblGrid>
      <w:tr>
        <w:trPr/>
        <w:tc>
          <w:tcPr>
            <w:tcW w:w="1100" w:type="dxa"/>
            <w:tcBorders/>
            <w:vAlign w:val="center"/>
          </w:tcPr>
          <w:p>
            <w:pPr>
              <w:pStyle w:val="TableContents"/>
              <w:bidi w:val="0"/>
              <w:spacing w:before="0" w:after="20"/>
              <w:jc w:val="left"/>
              <w:rPr>
                <w:rFonts w:ascii="Times New Roman" w:hAnsi="Times New Roman"/>
                <w:b/>
                <w:spacing w:val="0"/>
                <w:sz w:val="20"/>
              </w:rPr>
            </w:pPr>
            <w:r>
              <w:rPr>
                <w:rFonts w:ascii="Times New Roman" w:hAnsi="Times New Roman"/>
                <w:b/>
                <w:spacing w:val="0"/>
                <w:sz w:val="20"/>
              </w:rPr>
              <w:t>Sinking fund</w:t>
            </w:r>
          </w:p>
        </w:tc>
        <w:tc>
          <w:tcPr>
            <w:tcW w:w="4820" w:type="dxa"/>
            <w:tcBorders/>
            <w:vAlign w:val="center"/>
          </w:tcPr>
          <w:p>
            <w:pPr>
              <w:pStyle w:val="TableContents"/>
              <w:bidi w:val="0"/>
              <w:spacing w:before="0" w:after="283"/>
              <w:jc w:val="left"/>
              <w:rPr/>
            </w:pPr>
            <w:r>
              <w:rPr/>
              <w:t xml:space="preserve">The Notes will not be subject to any sinking fund.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272"/>
        <w:gridCol w:w="7933"/>
      </w:tblGrid>
      <w:tr>
        <w:trPr/>
        <w:tc>
          <w:tcPr>
            <w:tcW w:w="2272" w:type="dxa"/>
            <w:tcBorders/>
            <w:vAlign w:val="center"/>
          </w:tcPr>
          <w:p>
            <w:pPr>
              <w:pStyle w:val="TableContents"/>
              <w:bidi w:val="0"/>
              <w:spacing w:before="0" w:after="20"/>
              <w:jc w:val="left"/>
              <w:rPr>
                <w:rFonts w:ascii="Times New Roman" w:hAnsi="Times New Roman"/>
                <w:b/>
                <w:spacing w:val="0"/>
                <w:sz w:val="20"/>
              </w:rPr>
            </w:pPr>
            <w:r>
              <w:rPr>
                <w:rFonts w:ascii="Times New Roman" w:hAnsi="Times New Roman"/>
                <w:b/>
                <w:spacing w:val="0"/>
                <w:sz w:val="20"/>
              </w:rPr>
              <w:t xml:space="preserve">Offer to repurchase upon a Change of </w:t>
            </w:r>
          </w:p>
          <w:p>
            <w:pPr>
              <w:pStyle w:val="TableContents"/>
              <w:bidi w:val="0"/>
              <w:spacing w:before="0" w:after="20"/>
              <w:jc w:val="left"/>
              <w:rPr>
                <w:rFonts w:ascii="Times New Roman" w:hAnsi="Times New Roman"/>
                <w:b/>
                <w:spacing w:val="0"/>
                <w:sz w:val="20"/>
              </w:rPr>
            </w:pPr>
            <w:r>
              <w:rPr>
                <w:rFonts w:ascii="Times New Roman" w:hAnsi="Times New Roman"/>
                <w:b/>
                <w:spacing w:val="0"/>
                <w:sz w:val="20"/>
              </w:rPr>
              <w:t>Control Repurchase Event</w:t>
            </w:r>
          </w:p>
        </w:tc>
        <w:tc>
          <w:tcPr>
            <w:tcW w:w="793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If a Change of Control Repurchase Event (as defined in the section titled “</w:t>
            </w:r>
          </w:p>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Description of the Notes</w:t>
            </w:r>
          </w:p>
          <w:p>
            <w:pPr>
              <w:pStyle w:val="TableContents"/>
              <w:bidi w:val="0"/>
              <w:spacing w:before="0" w:after="0"/>
              <w:jc w:val="left"/>
              <w:rPr/>
            </w:pPr>
            <w:r>
              <w:rPr/>
              <w:t xml:space="preserve">” </w:t>
            </w:r>
            <w:r>
              <w:rPr>
                <w:rFonts w:ascii="Times New Roman" w:hAnsi="Times New Roman"/>
                <w:sz w:val="20"/>
              </w:rPr>
              <w:t xml:space="preserve">in this prospectus supplement) occurs prior to maturity, holders will have the right, at their option, to require us to repurchase for cash some or all of the Notes at 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 xml:space="preserve">repurchase price equal to 100% of the principal amount of the Notes being repurchased, plus accrued and unpaid interest to, but not including, the repurchase date. </w:t>
            </w:r>
          </w:p>
        </w:tc>
      </w:tr>
    </w:tbl>
    <w:p>
      <w:pPr>
        <w:pStyle w:val="TextBody"/>
        <w:bidi w:val="0"/>
        <w:spacing w:before="0" w:after="0"/>
        <w:jc w:val="left"/>
        <w:rPr>
          <w:bdr w:val="single" w:sz="8" w:space="1" w:color="000000"/>
        </w:rPr>
      </w:pPr>
      <w:r>
        <w:rPr>
          <w:bdr w:val="single" w:sz="8" w:space="1" w:color="000000"/>
        </w:rPr>
        <w:t> </w:t>
      </w:r>
    </w:p>
    <w:tbl>
      <w:tblPr>
        <w:tblW w:w="7480" w:type="dxa"/>
        <w:jc w:val="left"/>
        <w:tblInd w:w="0" w:type="dxa"/>
        <w:tblLayout w:type="fixed"/>
        <w:tblCellMar>
          <w:top w:w="0" w:type="dxa"/>
          <w:left w:w="0" w:type="dxa"/>
          <w:bottom w:w="0" w:type="dxa"/>
          <w:right w:w="0" w:type="dxa"/>
        </w:tblCellMar>
      </w:tblPr>
      <w:tblGrid>
        <w:gridCol w:w="1025"/>
        <w:gridCol w:w="6455"/>
      </w:tblGrid>
      <w:tr>
        <w:trPr/>
        <w:tc>
          <w:tcPr>
            <w:tcW w:w="1025" w:type="dxa"/>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 xml:space="preserve">Defeasance </w:t>
            </w:r>
          </w:p>
        </w:tc>
        <w:tc>
          <w:tcPr>
            <w:tcW w:w="6455" w:type="dxa"/>
            <w:tcBorders/>
            <w:vAlign w:val="center"/>
          </w:tcPr>
          <w:p>
            <w:pPr>
              <w:pStyle w:val="TableContents"/>
              <w:bidi w:val="0"/>
              <w:spacing w:before="0" w:after="0"/>
              <w:jc w:val="left"/>
              <w:rPr/>
            </w:pPr>
            <w:r>
              <w:rPr/>
              <w:t>The Notes are subject to legal and covenant defeasance by us. See “</w:t>
            </w:r>
          </w:p>
          <w:p>
            <w:pPr>
              <w:pStyle w:val="TableContents"/>
              <w:bidi w:val="0"/>
              <w:spacing w:before="0" w:after="0"/>
              <w:jc w:val="left"/>
              <w:rPr>
                <w:i/>
                <w:caps w:val="false"/>
                <w:smallCaps w:val="false"/>
                <w:spacing w:val="0"/>
              </w:rPr>
            </w:pPr>
            <w:r>
              <w:rPr>
                <w:i/>
                <w:caps w:val="false"/>
                <w:smallCaps w:val="false"/>
                <w:spacing w:val="0"/>
              </w:rPr>
              <w:t>Description of the Notes—Defeasance</w:t>
            </w:r>
          </w:p>
          <w:p>
            <w:pPr>
              <w:pStyle w:val="TableContents"/>
              <w:bidi w:val="0"/>
              <w:spacing w:before="0" w:after="0"/>
              <w:jc w:val="left"/>
              <w:rPr/>
            </w:pPr>
            <w:r>
              <w:rPr/>
              <w:t xml:space="preserve">” </w:t>
            </w:r>
            <w:r>
              <w:rPr/>
              <w:t xml:space="preserve">in this prospectus supplement.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626"/>
        <w:gridCol w:w="9579"/>
      </w:tblGrid>
      <w:tr>
        <w:trPr/>
        <w:tc>
          <w:tcPr>
            <w:tcW w:w="626" w:type="dxa"/>
            <w:tcBorders/>
            <w:vAlign w:val="center"/>
          </w:tcPr>
          <w:p>
            <w:pPr>
              <w:pStyle w:val="TableContents"/>
              <w:bidi w:val="0"/>
              <w:spacing w:before="0" w:after="20"/>
              <w:jc w:val="left"/>
              <w:rPr>
                <w:rFonts w:ascii="Times New Roman" w:hAnsi="Times New Roman"/>
                <w:b/>
                <w:spacing w:val="0"/>
                <w:sz w:val="20"/>
              </w:rPr>
            </w:pPr>
            <w:r>
              <w:rPr>
                <w:rFonts w:ascii="Times New Roman" w:hAnsi="Times New Roman"/>
                <w:b/>
                <w:spacing w:val="0"/>
                <w:sz w:val="20"/>
              </w:rPr>
              <w:t>Form of notes</w:t>
            </w:r>
          </w:p>
        </w:tc>
        <w:tc>
          <w:tcPr>
            <w:tcW w:w="9579" w:type="dxa"/>
            <w:tcBorders/>
            <w:vAlign w:val="center"/>
          </w:tcPr>
          <w:p>
            <w:pPr>
              <w:pStyle w:val="TableContents"/>
              <w:bidi w:val="0"/>
              <w:spacing w:before="0" w:after="283"/>
              <w:jc w:val="left"/>
              <w:rPr/>
            </w:pPr>
            <w:r>
              <w:rPr/>
              <w:t xml:space="preserve">The Notes will be represented by global securities that will be deposited and registered in the name of DTC or its nominee. Except in limited circumstances, you will not receive certificates for the Notes. Beneficial interests in the Notes will be represented through book-entry accounts of financial institutions acting on behalf of beneficial owners as direct and indirect participants in DTC. Investors may elect to hold interests in the Notes through either DTC, if they are a participant, or indirectly through organizations which are participants in DTC.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160"/>
        <w:gridCol w:w="9045"/>
      </w:tblGrid>
      <w:tr>
        <w:trPr/>
        <w:tc>
          <w:tcPr>
            <w:tcW w:w="1160" w:type="dxa"/>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 xml:space="preserve">Trustee, paying agent and security registrar </w:t>
            </w:r>
          </w:p>
        </w:tc>
        <w:tc>
          <w:tcPr>
            <w:tcW w:w="9045" w:type="dxa"/>
            <w:tcBorders/>
            <w:vAlign w:val="center"/>
          </w:tcPr>
          <w:p>
            <w:pPr>
              <w:pStyle w:val="TableContents"/>
              <w:bidi w:val="0"/>
              <w:spacing w:before="0" w:after="283"/>
              <w:jc w:val="left"/>
              <w:rPr/>
            </w:pPr>
            <w:r>
              <w:rPr/>
              <w:t xml:space="preserve">U.S. Bank Trust Company, National Association is the trustee, security registrar and paying agent. U.S. Bank Trust Company, National Association, in each of its capacities, including, without limitation, as trustee, security registrar and paying agent, assumes no responsibility for the accuracy or completeness of the information concerning us or our affiliates or any other party contained in this document or the related documents or for any failure by us or any other party to disclose events that may have occurred and may affect the significance or accuracy of such information, or for any information provided to it by us, including but not limited to settlement amounts and any other information.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We may maintain banking relationships in the ordinary course of business with the trustee and its affiliates.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069"/>
        <w:gridCol w:w="9136"/>
      </w:tblGrid>
      <w:tr>
        <w:trPr/>
        <w:tc>
          <w:tcPr>
            <w:tcW w:w="1069" w:type="dxa"/>
            <w:tcBorders/>
            <w:vAlign w:val="center"/>
          </w:tcPr>
          <w:p>
            <w:pPr>
              <w:pStyle w:val="TableContents"/>
              <w:bidi w:val="0"/>
              <w:spacing w:before="0" w:after="20"/>
              <w:jc w:val="left"/>
              <w:rPr>
                <w:rFonts w:ascii="Times New Roman" w:hAnsi="Times New Roman"/>
                <w:b/>
                <w:spacing w:val="0"/>
                <w:sz w:val="20"/>
              </w:rPr>
            </w:pPr>
            <w:r>
              <w:rPr>
                <w:rFonts w:ascii="Times New Roman" w:hAnsi="Times New Roman"/>
                <w:b/>
                <w:spacing w:val="0"/>
                <w:sz w:val="20"/>
              </w:rPr>
              <w:t>Other covenants</w:t>
            </w:r>
          </w:p>
        </w:tc>
        <w:tc>
          <w:tcPr>
            <w:tcW w:w="9136" w:type="dxa"/>
            <w:tcBorders/>
            <w:vAlign w:val="center"/>
          </w:tcPr>
          <w:p>
            <w:pPr>
              <w:pStyle w:val="TableContents"/>
              <w:bidi w:val="0"/>
              <w:spacing w:before="0" w:after="283"/>
              <w:jc w:val="left"/>
              <w:rPr/>
            </w:pPr>
            <w:r>
              <w:rPr/>
              <w:t xml:space="preserve">In addition to standard covenants relating to payment of principal and interest, maintaining an office where payments may be made or the Notes may be surrendered for payment and related matters, the following covenants shall apply to the Notes: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agree that for the period of time during which the Notes are outstanding, we will not violate Section 18(a)(1)(A) as modified by Section 61(a)(2) of the 1940 Act or any successor provisions, whether or not we continue to be subject to such provisions of the 1940 Act, but giving effect, in either case, to any exemptive relief granted to us by the SEC. Currently, these provisions generally prohibit us from incurring additional indebtedness, including through the issuance of additional debt securities, unless our asset coverage, as defined in the 1940 Act, equals at least 150% after such borrowings.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agree that, for the period of time during which the Notes are outstanding, we will not violate Section 18(a)(1)(B) as modified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(i) Section 61(a)(2) of the 1940 Act or any successor provisions and after giving effect to any exemptive relief granted to us by the SEC and (ii) the two other exceptions set forth below. These statutory provisions of the 1940 Act are not currently applicable to us and will not be applicable to us as a result of this offering. However, if Section 18(a)(1)(B) as modified by Section 61(a)(2) of the 1940 Act were currently applicable to us in connection with this offering, these provisions would generally prohibit us from declaring any cash dividend or distribution upon any class of our capital stock, or purchasing any such capital stock if our asset coverage, as defined in the 1940 Act, were below 150% at the time of the declaration of the dividend or distribution or the purchase and after deducting the amount of such dividend, distribution, or purchase. Under the covenant, we will be permitted to declare a cash dividend or distribution notwithstanding the prohibition contained in Section 18(a)(1)(B) as modified by Section 61(a)(2) of the 1940 Act or any successor provisions, but only up to such amount as is necessary for us to maintain our status as a RIC under subchapter M of the Code. Furthermore, the covenant will not be triggered unless and until such time as our asset coverage has not been in compliance with the minimum asset coverage required by Section 18(a)(1)(B) as modified by Section 61(a)(2) of the 1940 Act or any successor provisions (after giving effect to any exemptive relief granted to us by the SEC) for more than six consecutive months.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at any time, we are not subject to the reporting requirements of Sections 13 or 15(d) of the Securities Exchange Act of 1934, as amended (the “Exchange Act”), to file any periodic reports with the SEC, we agree to furnish to holders of the Notes and the trustee, for the period of time during which the Notes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applicable U.S. generally accepted accounting principles (“GAAP”).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850"/>
        <w:gridCol w:w="9355"/>
      </w:tblGrid>
      <w:tr>
        <w:trPr/>
        <w:tc>
          <w:tcPr>
            <w:tcW w:w="850" w:type="dxa"/>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Events of default</w:t>
            </w:r>
          </w:p>
        </w:tc>
        <w:tc>
          <w:tcPr>
            <w:tcW w:w="9355" w:type="dxa"/>
            <w:tcBorders/>
            <w:vAlign w:val="center"/>
          </w:tcPr>
          <w:p>
            <w:pPr>
              <w:pStyle w:val="TableContents"/>
              <w:bidi w:val="0"/>
              <w:spacing w:before="0" w:after="283"/>
              <w:jc w:val="left"/>
              <w:rPr/>
            </w:pPr>
            <w:r>
              <w:rPr/>
              <w:t xml:space="preserve">If an event of default (as described in the section titled “Description of the Notes” in this prospectus supplement) on the Notes occurs, the principal amount of the Notes, plus accrued and unpaid interest, may be declared immediately due and payable, subject to the conditions set forth in the indenture governing the Notes.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023"/>
        <w:gridCol w:w="9182"/>
      </w:tblGrid>
      <w:tr>
        <w:trPr/>
        <w:tc>
          <w:tcPr>
            <w:tcW w:w="1023" w:type="dxa"/>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 xml:space="preserve">Use of proceeds </w:t>
            </w:r>
          </w:p>
        </w:tc>
        <w:tc>
          <w:tcPr>
            <w:tcW w:w="918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estimate that the net proceeds we receive from the sale of the $100.0 million aggregate principal amount of the Notes in this offering will be approximately $98.9 million, based on the public offering price of 100.705% of the aggregate principal amount of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 xml:space="preserve">Notes, after deducting the underwriting discount of $1.5 million payable by us and estimated offering expenses of approximately $0.3 million payable by us.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pPr>
            <w:r>
              <w:rPr/>
              <w:t>We intend to use the net proceeds from this offering to redeem in full the outstanding January 2026 Notes. See “</w:t>
            </w:r>
          </w:p>
          <w:p>
            <w:pPr>
              <w:pStyle w:val="TableContents"/>
              <w:bidi w:val="0"/>
              <w:spacing w:before="0" w:after="0"/>
              <w:jc w:val="left"/>
              <w:rPr>
                <w:i/>
              </w:rPr>
            </w:pPr>
            <w:r>
              <w:rPr>
                <w:i/>
              </w:rPr>
              <w:t>Use of Proceeds</w:t>
            </w:r>
          </w:p>
          <w:p>
            <w:pPr>
              <w:pStyle w:val="TableContents"/>
              <w:bidi w:val="0"/>
              <w:spacing w:before="0" w:after="0"/>
              <w:jc w:val="left"/>
              <w:rPr/>
            </w:pPr>
            <w:r>
              <w:rPr/>
              <w:t xml:space="preserve">” </w:t>
            </w:r>
            <w:r>
              <w:rPr/>
              <w:t xml:space="preserve">on page S-16 of this prospectus supplement.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470"/>
        <w:gridCol w:w="8735"/>
      </w:tblGrid>
      <w:tr>
        <w:trPr/>
        <w:tc>
          <w:tcPr>
            <w:tcW w:w="1470" w:type="dxa"/>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 xml:space="preserve">Global clearance and settlement procedures </w:t>
            </w:r>
          </w:p>
        </w:tc>
        <w:tc>
          <w:tcPr>
            <w:tcW w:w="8735" w:type="dxa"/>
            <w:tcBorders/>
            <w:vAlign w:val="center"/>
          </w:tcPr>
          <w:p>
            <w:pPr>
              <w:pStyle w:val="TableContents"/>
              <w:bidi w:val="0"/>
              <w:spacing w:before="0" w:after="283"/>
              <w:jc w:val="left"/>
              <w:rPr/>
            </w:pPr>
            <w:r>
              <w:rPr/>
              <w:t xml:space="preserve">Interests in the Notes will trade in DTC’s Same Day Funds Settlement System, and any permitted secondary market trading activity in such Notes will, therefore, be required by DTC to be settled in immediately available funds. None of the issuer, the trustee or the paying agent will have any responsibility for the performance by DTC or its participants or indirect participants of their respective obligations under the rules and procedures governing their operations.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174"/>
        <w:gridCol w:w="9031"/>
      </w:tblGrid>
      <w:tr>
        <w:trPr/>
        <w:tc>
          <w:tcPr>
            <w:tcW w:w="1174" w:type="dxa"/>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Governing law</w:t>
            </w:r>
          </w:p>
        </w:tc>
        <w:tc>
          <w:tcPr>
            <w:tcW w:w="9031" w:type="dxa"/>
            <w:tcBorders/>
            <w:vAlign w:val="center"/>
          </w:tcPr>
          <w:p>
            <w:pPr>
              <w:pStyle w:val="TableContents"/>
              <w:bidi w:val="0"/>
              <w:spacing w:before="0" w:after="283"/>
              <w:jc w:val="left"/>
              <w:rPr/>
            </w:pPr>
            <w:r>
              <w:rPr/>
              <w:t xml:space="preserve">The Notes and the indenture governing the Notes will be governed by and construed in accordance with the laws of the State of New York. </w:t>
            </w:r>
          </w:p>
        </w:tc>
      </w:tr>
    </w:tbl>
    <w:p>
      <w:pPr>
        <w:pStyle w:val="TextBody"/>
        <w:bidi w:val="0"/>
        <w:spacing w:before="0" w:after="0"/>
        <w:jc w:val="left"/>
        <w:rPr>
          <w:bdr w:val="single" w:sz="8" w:space="1" w:color="000000"/>
        </w:rPr>
      </w:pPr>
      <w:r>
        <w:rPr>
          <w:bdr w:val="single" w:sz="8" w:space="1" w:color="000000"/>
        </w:rPr>
        <w:t> </w:t>
      </w:r>
    </w:p>
    <w:tbl>
      <w:tblPr>
        <w:tblW w:w="9880" w:type="dxa"/>
        <w:jc w:val="left"/>
        <w:tblInd w:w="0" w:type="dxa"/>
        <w:tblLayout w:type="fixed"/>
        <w:tblCellMar>
          <w:top w:w="0" w:type="dxa"/>
          <w:left w:w="0" w:type="dxa"/>
          <w:bottom w:w="0" w:type="dxa"/>
          <w:right w:w="0" w:type="dxa"/>
        </w:tblCellMar>
      </w:tblPr>
      <w:tblGrid>
        <w:gridCol w:w="1085"/>
        <w:gridCol w:w="8795"/>
      </w:tblGrid>
      <w:tr>
        <w:trPr/>
        <w:tc>
          <w:tcPr>
            <w:tcW w:w="1085" w:type="dxa"/>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 xml:space="preserve">Risk factors </w:t>
            </w:r>
          </w:p>
        </w:tc>
        <w:tc>
          <w:tcPr>
            <w:tcW w:w="8795" w:type="dxa"/>
            <w:tcBorders/>
            <w:vAlign w:val="center"/>
          </w:tcPr>
          <w:p>
            <w:pPr>
              <w:pStyle w:val="TableContents"/>
              <w:bidi w:val="0"/>
              <w:spacing w:before="0" w:after="0"/>
              <w:jc w:val="left"/>
              <w:rPr/>
            </w:pPr>
            <w:r>
              <w:rPr/>
              <w:t>See “</w:t>
            </w:r>
          </w:p>
          <w:p>
            <w:pPr>
              <w:pStyle w:val="TableContents"/>
              <w:bidi w:val="0"/>
              <w:spacing w:before="0" w:after="0"/>
              <w:jc w:val="left"/>
              <w:rPr>
                <w:i/>
              </w:rPr>
            </w:pPr>
            <w:r>
              <w:rPr>
                <w:i/>
              </w:rPr>
              <w:t>Supplementary Risk Factors</w:t>
            </w:r>
          </w:p>
          <w:p>
            <w:pPr>
              <w:pStyle w:val="TableContents"/>
              <w:bidi w:val="0"/>
              <w:spacing w:before="0" w:after="0"/>
              <w:jc w:val="left"/>
              <w:rPr/>
            </w:pPr>
            <w:r>
              <w:rPr/>
              <w:t xml:space="preserve">” </w:t>
            </w:r>
            <w:r>
              <w:rPr/>
              <w:t>beginning on page S-10 of this prospectus supplement, “</w:t>
            </w:r>
          </w:p>
          <w:p>
            <w:pPr>
              <w:pStyle w:val="TableContents"/>
              <w:bidi w:val="0"/>
              <w:spacing w:before="0" w:after="0"/>
              <w:jc w:val="left"/>
              <w:rPr>
                <w:i/>
              </w:rPr>
            </w:pPr>
            <w:r>
              <w:rPr>
                <w:i/>
              </w:rPr>
              <w:t>Risk Factors”</w:t>
            </w:r>
          </w:p>
          <w:p>
            <w:pPr>
              <w:pStyle w:val="TableContents"/>
              <w:bidi w:val="0"/>
              <w:spacing w:before="0" w:after="0"/>
              <w:jc w:val="left"/>
              <w:rPr/>
            </w:pPr>
            <w:r>
              <w:rPr/>
              <w:t>on page 11 of the accompanying prospectus and “</w:t>
            </w:r>
          </w:p>
          <w:p>
            <w:pPr>
              <w:pStyle w:val="TableContents"/>
              <w:bidi w:val="0"/>
              <w:spacing w:before="0" w:after="0"/>
              <w:jc w:val="left"/>
              <w:rPr>
                <w:i/>
              </w:rPr>
            </w:pPr>
            <w:r>
              <w:rPr>
                <w:i/>
              </w:rPr>
              <w:t>Risk Factors</w:t>
            </w:r>
          </w:p>
          <w:p>
            <w:pPr>
              <w:pStyle w:val="TableContents"/>
              <w:bidi w:val="0"/>
              <w:spacing w:before="0" w:after="0"/>
              <w:jc w:val="left"/>
              <w:rPr/>
            </w:pPr>
            <w:r>
              <w:rPr/>
              <w:t xml:space="preserve">” </w:t>
            </w:r>
            <w:r>
              <w:rPr/>
              <w:t xml:space="preserve">in our most recent Annual Report on Form 10-K as well as in any subsequent SEC filings.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902"/>
        <w:gridCol w:w="9303"/>
      </w:tblGrid>
      <w:tr>
        <w:trPr/>
        <w:tc>
          <w:tcPr>
            <w:tcW w:w="902" w:type="dxa"/>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Tax treatment</w:t>
            </w:r>
          </w:p>
        </w:tc>
        <w:tc>
          <w:tcPr>
            <w:tcW w:w="9303" w:type="dxa"/>
            <w:tcBorders/>
            <w:vAlign w:val="center"/>
          </w:tcPr>
          <w:p>
            <w:pPr>
              <w:pStyle w:val="TableContents"/>
              <w:bidi w:val="0"/>
              <w:spacing w:before="0" w:after="283"/>
              <w:jc w:val="left"/>
              <w:rPr/>
            </w:pPr>
            <w:r>
              <w:rPr/>
              <w:t xml:space="preserve">We intend to treat, for U.S. federal income tax purposes, the issuance of the Notes offered hereby as a “qualified reopening” of the Existing Notes, which were issued on March 19, 2025, with an “issue price” (i.e., the first price at which a substantial amount of the notes is sold to investors) equal to 99.29954% of their principal amount and will mature on March 19, 2030. Accordingly, we intend to treat the Notes offered hereby as having the same “issue date” and the same “issue price” as the Existing Notes for U.S. federal income tax purposes. In addition, because the Existing Notes were issued with an “issue price” equal to 99.29954% of their principal amount, the Existing Notes were treated as issued without original issue discount or OID for U.S. federal income tax purposes.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SUPPLEMENTARY RISK FACTORS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Investing in the Notes involves a number of significant risks. You should carefully consider the risks described below, together with all of the risks and uncertainties described in the section titled “Risk Factors” in the accompanying prospectus and our most recent Annual Report on Form 10-K, as well as in subsequent filings with the SEC, which are or will be incorporated by reference into this prospectus supplement and the accompanying prospectus in their entirety, and other information in this prospectus supplement, the accompanying prospectus, the information incorporated by reference in this prospectus supplement and the accompanying prospectus, and any free writing prospectus that we may authorize for use in connection with this offering. The risks and uncertainties described below are not the only ones facing us. Additional risks and uncertainties not presently known to us, or not presently deemed material by us, may also impair our operations and performance. If any of the following risks actually occur, our business, financial condition or results of operations could be materially adversely affected. If that happens, our net asset value and the trading price of our securities could decline and you may lose all or part of your investment. Please also read carefully the section titled “Special Note Regarding Forward-Looking Statements” in this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Offering </w:t>
      </w:r>
    </w:p>
    <w:p>
      <w:pPr>
        <w:pStyle w:val="TextBody"/>
        <w:bidi w:val="0"/>
        <w:spacing w:before="120" w:after="0"/>
        <w:jc w:val="left"/>
        <w:rPr>
          <w:rFonts w:ascii="Times New Roman" w:hAnsi="Times New Roman"/>
          <w:b/>
          <w:spacing w:val="0"/>
          <w:sz w:val="20"/>
        </w:rPr>
      </w:pPr>
      <w:r>
        <w:rPr>
          <w:rFonts w:ascii="Times New Roman" w:hAnsi="Times New Roman"/>
          <w:b/>
          <w:spacing w:val="0"/>
          <w:sz w:val="20"/>
        </w:rPr>
        <w:t xml:space="preserve">The Notes are unsecured and therefore are effectively subordinated to any secured indebtedness we have currently incurred or may incur in the future and rank </w:t>
      </w:r>
    </w:p>
    <w:p>
      <w:pPr>
        <w:pStyle w:val="TextBody"/>
        <w:bidi w:val="0"/>
        <w:spacing w:before="120" w:after="0"/>
        <w:jc w:val="left"/>
        <w:rPr>
          <w:rFonts w:ascii="Times New Roman" w:hAnsi="Times New Roman"/>
          <w:b/>
          <w:i/>
          <w:spacing w:val="0"/>
          <w:sz w:val="20"/>
        </w:rPr>
      </w:pPr>
      <w:r>
        <w:rPr>
          <w:rFonts w:ascii="Times New Roman" w:hAnsi="Times New Roman"/>
          <w:b/>
          <w:i/>
          <w:spacing w:val="0"/>
          <w:sz w:val="20"/>
        </w:rPr>
        <w:t xml:space="preserve">pari passu </w:t>
      </w:r>
    </w:p>
    <w:p>
      <w:pPr>
        <w:pStyle w:val="TextBody"/>
        <w:bidi w:val="0"/>
        <w:spacing w:before="120" w:after="0"/>
        <w:jc w:val="left"/>
        <w:rPr>
          <w:rFonts w:ascii="Times New Roman" w:hAnsi="Times New Roman"/>
          <w:b/>
          <w:spacing w:val="0"/>
          <w:sz w:val="20"/>
        </w:rPr>
      </w:pPr>
      <w:r>
        <w:rPr>
          <w:rFonts w:ascii="Times New Roman" w:hAnsi="Times New Roman"/>
          <w:b/>
          <w:spacing w:val="0"/>
          <w:sz w:val="20"/>
        </w:rPr>
        <w:t xml:space="preserve">with, or equal to, all outstanding and future unsecured indebtedness issued by and us and our general liabilities (total liabilities, less debt). </w:t>
      </w:r>
    </w:p>
    <w:p>
      <w:pPr>
        <w:pStyle w:val="TextBody"/>
        <w:bidi w:val="0"/>
        <w:spacing w:before="120" w:after="0"/>
        <w:jc w:val="left"/>
        <w:rPr>
          <w:rFonts w:ascii="Times New Roman" w:hAnsi="Times New Roman"/>
          <w:sz w:val="20"/>
        </w:rPr>
      </w:pPr>
      <w:r>
        <w:rPr>
          <w:rFonts w:ascii="Times New Roman" w:hAnsi="Times New Roman"/>
          <w:sz w:val="20"/>
        </w:rPr>
        <w:t>The Notes are not secured by any of our assets or any of the assets of any of our subsidiaries. As a result, the Notes are effectively subordinated to any secured indebtedness we or our subsidiaries have outstanding as of the date of this prospectus supplement (including under our Credit Facility) or that we or our subsidiaries may incur in the future (or any indebtedness that is initially unsecured as to which we subsequently grant security)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Notes. In addition, the Notes rank</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pari passu</w:t>
      </w:r>
    </w:p>
    <w:p>
      <w:pPr>
        <w:pStyle w:val="TextBody"/>
        <w:bidi w:val="0"/>
        <w:spacing w:before="120" w:after="0"/>
        <w:jc w:val="left"/>
        <w:rPr>
          <w:rFonts w:ascii="Times New Roman" w:hAnsi="Times New Roman"/>
          <w:sz w:val="20"/>
        </w:rPr>
      </w:pPr>
      <w:r>
        <w:rPr>
          <w:rFonts w:ascii="Times New Roman" w:hAnsi="Times New Roman"/>
          <w:sz w:val="20"/>
        </w:rPr>
        <w:t xml:space="preserve">with, or equal to, all outstanding and future unsecured, unsubordinated indebtedness issued by us and our general liabilities (total liabilities, less debt). As of September 30, 2025, we had $15.0 million in outstanding borrowings under our Credit Facility. The indebtedness under the Credit Facility is effectively senior to the Notes to the extent of the value of the assets securing such indebtedness. </w:t>
      </w:r>
    </w:p>
    <w:p>
      <w:pPr>
        <w:pStyle w:val="TextBody"/>
        <w:bidi w:val="0"/>
        <w:spacing w:before="360" w:after="0"/>
        <w:jc w:val="left"/>
        <w:rPr>
          <w:rFonts w:ascii="Times New Roman" w:hAnsi="Times New Roman"/>
          <w:b/>
          <w:sz w:val="20"/>
        </w:rPr>
      </w:pPr>
      <w:r>
        <w:rPr>
          <w:rFonts w:ascii="Times New Roman" w:hAnsi="Times New Roman"/>
          <w:b/>
          <w:sz w:val="20"/>
        </w:rPr>
        <w:t xml:space="preserve">The Notes are structurally subordinated to the indebtedness and other liabilities of our subsidiaries. </w:t>
      </w:r>
    </w:p>
    <w:p>
      <w:pPr>
        <w:pStyle w:val="TextBody"/>
        <w:bidi w:val="0"/>
        <w:spacing w:before="120" w:after="0"/>
        <w:jc w:val="left"/>
        <w:rPr>
          <w:rFonts w:ascii="Times New Roman" w:hAnsi="Times New Roman"/>
          <w:sz w:val="20"/>
        </w:rPr>
      </w:pPr>
      <w:r>
        <w:rPr>
          <w:rFonts w:ascii="Times New Roman" w:hAnsi="Times New Roman"/>
          <w:sz w:val="20"/>
        </w:rPr>
        <w:t xml:space="preserve">The Notes are obligations exclusively of Fidus Investment Corporation, and not of any of our subsidiaries. None of our subsidiaries will be a guarantor of the Notes, and the Notes are not required to be guaranteed by any subsidiary we may acquire or create in the future. Any assets of our subsidiaries will not be directly available to satisfy the claims of our creditors, including holders of the Notes. Except to the extent we are a creditor with recognized claims against our subsidiaries, all claims of creditors of our subsidiaries will have priority over our equity interests in such entities (and therefore the claims of our creditors, including holders of the Notes) with respect to the assets of such entities. Even if we are recognized as a creditor of one or more of these entities, our claims would still be effectively subordinated to any security interests in the assets of any such entity and to any indebtedness or other liabilities of any such entity senior to our claims. Consequently, the Notes are structurally subordinated to all indebtedness and other liabilities, including trade payables, of any of our existing or future subsidiaries, including the SBIC Funds. As of September 30, 2025, we had $191.0 million in SBA debentures outstanding. In the future, the SBIC Funds and any of our future subsidiaries may incur substantial additional indebtedness, all of which would be structurally senior to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The indenture governing the Notes contains limited protection for holders of the Notes.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governing the Notes offers limited protection to holders of the Notes. The terms of the indenture and the Notes do not restrict our or any of our subsidiaries’ ability to engage in, or otherwise be a party to, a variety of corporate transactions, circumstances or events that could have a material adverse impact on an investment in the Notes. In particular, the terms of the indenture and the Notes do not place any restrictions on our or our subsidiaries’ ability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issue securities or otherwise incur additional indebtedness or other obligations, including (1) any indebtedness or other obligations that would be equal in right of payment to the Notes, (2) any indebtedness or other obligations that would be secured and therefore rank effectively senior in right of payment to the Notes to the extent of the values of the assets securing such debt, (3) indebtedness of ours that is guaranteed by one or more of our subsidiaries and which therefore is structurally senior to the Notes and (4) securities, indebtedness or obligations issued or incurred by our subsidiaries that would be senior to our equity interests in our subsidiaries and therefore rank structurally senior to the Notes with respect to the assets of our subsidiaries, in each case other than an incurrence of indebtedness or other obligation that would cause a violation of Section 18(a)(1)(A) as modified by Section 61(a)(2) of the 1940 Act or any successor provisions, whether or not we continue to be subject to such provisions of the 1940 Act, but giving effect, in either case, to any exemptive relief granted to us by the SEC, which generally prohibit us from incurring additional indebtedness, including through the issuance of additional debt securities, unless our asset coverage, as defined in the 1940 Act, equals at least 150% after such incurrence or issuance;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pay dividends on, or purchase or redeem or make any payments in respect of, capital stock or other securities ranking junior in right of payment to the Notes, including subordinated indebtedness, except that we have agreed that, for the period of time during which the Notes are outstanding, we will not violate Section 18(a)(1)(B) as modified by (i) Section 61(a)(2) of the 1940 Act or any successor provisions and after giving effect to any exemptive relief granted to us by the SEC and (ii) the following two exceptions: (A) we will be permitted to declare a cash dividend or distribution notwithstanding the prohibition contained in Section 18(a)(1)(B) as modified by Section 61(a)(2) of the 1940 Act or any successor provisions, but only up to such amount as is necessary for us to maintain our status as a RIC under subchapter M of the Code; and (B) this restriction will not be triggered unless and until such time as our asset coverage has not been in compliance with the minimum asset coverage required by Section 18(a)(1)(B) as modified by Section 61(a)(2) of the 1940 Act or any successor provisions (after giving effect to any exemptive relief granted to us by the SEC) for more than six consecutive months. If Section 18(a)(1)(B) as modified by Section 61(a)(2) of the 1940 Act were currently applicable to us in connection with this offering, these provisions would generally prohibit us from declaring any cash dividend or distribution upon any class of our capital stock, or purchasing any such capital stock if our asset coverage, as defined in the 1940 Act, were below 150% at the time of the declaration of the dividend or distribution or the purchase and after deducting the amount of such dividend, distribution or purchase;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sell assets (other than certain limited restrictions on our ability to consolidate, merge or sell all or substantially all of our assets); </w:t>
            </w:r>
          </w:p>
        </w:tc>
      </w:tr>
    </w:tbl>
    <w:p>
      <w:pPr>
        <w:pStyle w:val="TextBody"/>
        <w:bidi w:val="0"/>
        <w:spacing w:before="0" w:after="0"/>
        <w:jc w:val="left"/>
        <w:rPr/>
      </w:pPr>
      <w:r>
        <w:rPr/>
        <w:t> </w:t>
      </w:r>
    </w:p>
    <w:tbl>
      <w:tblPr>
        <w:tblW w:w="3340" w:type="dxa"/>
        <w:jc w:val="left"/>
        <w:tblInd w:w="0" w:type="dxa"/>
        <w:tblLayout w:type="fixed"/>
        <w:tblCellMar>
          <w:top w:w="0" w:type="dxa"/>
          <w:left w:w="0" w:type="dxa"/>
          <w:bottom w:w="0" w:type="dxa"/>
          <w:right w:w="0" w:type="dxa"/>
        </w:tblCellMar>
      </w:tblPr>
      <w:tblGrid>
        <w:gridCol w:w="75"/>
        <w:gridCol w:w="110"/>
        <w:gridCol w:w="60"/>
        <w:gridCol w:w="30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enter into transactions with affiliates; </w:t>
            </w:r>
          </w:p>
        </w:tc>
      </w:tr>
    </w:tbl>
    <w:p>
      <w:pPr>
        <w:pStyle w:val="TextBody"/>
        <w:bidi w:val="0"/>
        <w:spacing w:before="0" w:after="0"/>
        <w:jc w:val="left"/>
        <w:rPr/>
      </w:pPr>
      <w:r>
        <w:rPr/>
        <w:t> </w:t>
      </w:r>
    </w:p>
    <w:tbl>
      <w:tblPr>
        <w:tblW w:w="8920" w:type="dxa"/>
        <w:jc w:val="left"/>
        <w:tblInd w:w="0" w:type="dxa"/>
        <w:tblLayout w:type="fixed"/>
        <w:tblCellMar>
          <w:top w:w="0" w:type="dxa"/>
          <w:left w:w="0" w:type="dxa"/>
          <w:bottom w:w="0" w:type="dxa"/>
          <w:right w:w="0" w:type="dxa"/>
        </w:tblCellMar>
      </w:tblPr>
      <w:tblGrid>
        <w:gridCol w:w="75"/>
        <w:gridCol w:w="110"/>
        <w:gridCol w:w="60"/>
        <w:gridCol w:w="86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create liens (including liens on the shares of our subsidiaries) or enter into sale and leaseback transactions; </w:t>
            </w:r>
          </w:p>
        </w:tc>
      </w:tr>
    </w:tbl>
    <w:p>
      <w:pPr>
        <w:pStyle w:val="TextBody"/>
        <w:bidi w:val="0"/>
        <w:spacing w:before="0" w:after="0"/>
        <w:jc w:val="left"/>
        <w:rPr/>
      </w:pPr>
      <w:r>
        <w:rPr/>
        <w:t> </w:t>
      </w:r>
    </w:p>
    <w:tbl>
      <w:tblPr>
        <w:tblW w:w="2050" w:type="dxa"/>
        <w:jc w:val="left"/>
        <w:tblInd w:w="0" w:type="dxa"/>
        <w:tblLayout w:type="fixed"/>
        <w:tblCellMar>
          <w:top w:w="0" w:type="dxa"/>
          <w:left w:w="0" w:type="dxa"/>
          <w:bottom w:w="0" w:type="dxa"/>
          <w:right w:w="0" w:type="dxa"/>
        </w:tblCellMar>
      </w:tblPr>
      <w:tblGrid>
        <w:gridCol w:w="75"/>
        <w:gridCol w:w="110"/>
        <w:gridCol w:w="60"/>
        <w:gridCol w:w="18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make investments; or </w:t>
            </w:r>
          </w:p>
        </w:tc>
      </w:tr>
    </w:tbl>
    <w:p>
      <w:pPr>
        <w:pStyle w:val="TextBody"/>
        <w:bidi w:val="0"/>
        <w:spacing w:before="0" w:after="0"/>
        <w:jc w:val="left"/>
        <w:rPr/>
      </w:pPr>
      <w:r>
        <w:rPr/>
        <w:t> </w:t>
      </w:r>
    </w:p>
    <w:tbl>
      <w:tblPr>
        <w:tblW w:w="7750" w:type="dxa"/>
        <w:jc w:val="left"/>
        <w:tblInd w:w="0" w:type="dxa"/>
        <w:tblLayout w:type="fixed"/>
        <w:tblCellMar>
          <w:top w:w="0" w:type="dxa"/>
          <w:left w:w="0" w:type="dxa"/>
          <w:bottom w:w="0" w:type="dxa"/>
          <w:right w:w="0" w:type="dxa"/>
        </w:tblCellMar>
      </w:tblPr>
      <w:tblGrid>
        <w:gridCol w:w="75"/>
        <w:gridCol w:w="110"/>
        <w:gridCol w:w="60"/>
        <w:gridCol w:w="75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create restrictions on the payment of dividends or other amounts to us from our subsidiaries.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Furthermore, the terms of the indenture and the Notes do not protect holders of the Notes in the event that we experience changes (including significant adverse changes) in our financial condition, results of operations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credit ratings, as they do not require that we or our subsidiaries adhere to any financial tests or ratios or specified levels of net worth, revenues, income, cash flow, or liquidity.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recapitalize, incur additional debt (including additional debt that matures prior to the maturity of the Notes) and take a number of other actions are not limited by the terms of the Notes and may have important consequences for holders of the Notes, including making it more difficult for us to satisfy our obligations with respect to the Notes or negatively affecting the trading value of the Notes. </w:t>
      </w:r>
    </w:p>
    <w:p>
      <w:pPr>
        <w:pStyle w:val="TextBody"/>
        <w:bidi w:val="0"/>
        <w:spacing w:before="240" w:after="0"/>
        <w:jc w:val="left"/>
        <w:rPr>
          <w:rFonts w:ascii="Times New Roman" w:hAnsi="Times New Roman"/>
          <w:sz w:val="20"/>
        </w:rPr>
      </w:pPr>
      <w:r>
        <w:rPr>
          <w:rFonts w:ascii="Times New Roman" w:hAnsi="Times New Roman"/>
          <w:sz w:val="20"/>
        </w:rPr>
        <w:t xml:space="preserve">In addition, other debt we issue or incur in the future could contain more protections for its holders than the indenture and the Notes, including additional covenants and events of default. The issuance or incurrence of any such debt with incremental protections could affect the market for, trading levels, and prices of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While a trading market developed after issuing the Existing Notes, we cannot assure you that an active and liquid trading market for the Notes will be maintained. </w:t>
      </w:r>
    </w:p>
    <w:p>
      <w:pPr>
        <w:pStyle w:val="TextBody"/>
        <w:bidi w:val="0"/>
        <w:spacing w:before="120" w:after="0"/>
        <w:jc w:val="left"/>
        <w:rPr>
          <w:rFonts w:ascii="Times New Roman" w:hAnsi="Times New Roman"/>
          <w:sz w:val="20"/>
        </w:rPr>
      </w:pPr>
      <w:r>
        <w:rPr>
          <w:rFonts w:ascii="Times New Roman" w:hAnsi="Times New Roman"/>
          <w:sz w:val="20"/>
        </w:rPr>
        <w:t xml:space="preserve">While a trading market for the Notes developed after issuing the Existing Notes, we cannot assure you that an active and liquid market for the Notes will be maintained. We do not intend to apply for listing of the Notes on any securities exchange or for quotation of the Notes on any automated dealer quotation system. If the Notes are traded after their initial issuance, they may trade at a discount from their public offering price depending on prevailing interest rates, the market for similar securities, our credit ratings, our financial condition, performance and prospects, general economic conditions or other relevant factors. Although certain of the underwriters have informed us that they intend to make a market in the Notes, they are not obligated to do so, and the underwriters may discontinue any market-making in the Notes at any time at their sole discretion. In addition, any market-making activity will be subject to limits imposed by law. Accordingly, we cannot assure you that a liquid trading market will be maintained for the Notes, that you will be able to sell the Notes at a particular time or that the price you receive when you sell will be favorable. To the extent an active and liquid trading market is not maintained, the liquidity and trading price for the Notes may be adversely affected. Accordingly, you may be required to bear the financial risk of an investment in the Notes for an indefinite period of time. </w:t>
      </w:r>
    </w:p>
    <w:p>
      <w:pPr>
        <w:pStyle w:val="TextBody"/>
        <w:bidi w:val="0"/>
        <w:spacing w:before="360" w:after="0"/>
        <w:jc w:val="left"/>
        <w:rPr>
          <w:rFonts w:ascii="Times New Roman" w:hAnsi="Times New Roman"/>
          <w:b/>
          <w:sz w:val="20"/>
        </w:rPr>
      </w:pPr>
      <w:r>
        <w:rPr>
          <w:rFonts w:ascii="Times New Roman" w:hAnsi="Times New Roman"/>
          <w:b/>
          <w:sz w:val="20"/>
        </w:rPr>
        <w:t xml:space="preserve">If we default on our obligations to pay our other indebtedness, we may not be able to make payments on the Notes. </w:t>
      </w:r>
    </w:p>
    <w:p>
      <w:pPr>
        <w:pStyle w:val="TextBody"/>
        <w:bidi w:val="0"/>
        <w:spacing w:before="120" w:after="0"/>
        <w:jc w:val="left"/>
        <w:rPr>
          <w:rFonts w:ascii="Times New Roman" w:hAnsi="Times New Roman"/>
          <w:sz w:val="20"/>
        </w:rPr>
      </w:pPr>
      <w:r>
        <w:rPr>
          <w:rFonts w:ascii="Times New Roman" w:hAnsi="Times New Roman"/>
          <w:sz w:val="20"/>
        </w:rPr>
        <w:t xml:space="preserve">Any default under the agreements governing our indebtedness, including a default under the Credit Facility, the January 2026 Notes, the November 2026 Notes, or other indebtedness to which we may be a party, that is not waived by the required lenders or holders, and the remedies sought by the lenders or holders of such indebtedness could make us unable to pay principal, premium, if any, and interest on the Notes and substantially decrease the market value of the Notes. 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as applicable,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under the Credit Facility or other debt we may incur in the future could elect to terminate their commitments, cease making further loans and institute foreclosure proceedings against our assets, and we could be forced into bankruptcy or liquidation.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generate sufficient cash flow in the future is, to some extent, subject to general economic, financial, competitive, legislative and regulatory factors as well as other factors that are beyond our control. We cannot assure you that our business will generate cash flow from operations, or that future borrowings will be available to us under the Credit Facility, or otherwise, in an amount sufficient to enable us to meet our payment obligations under the Notes, the January 2026 Notes, the November 2026 Notes, our other debt, and to fund other liquidity needs.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our operating performance declines and we are not able to generate sufficient cash flow to service our debt obligations, we may, in the future, need to refinance or restructure our debt, including any Notes sold, sell assets, reduce or delay capital investments, seek to raise additional capital or seek to obtain waivers from the required lenders under the Credit Facility, the holders of the January 2026 Notes, the holders of the November 2026 Notes or other debt that we may incur in the future, to avoid being in default. If we are unable to implement one or more of these alternatives, we may not be able to meet our payment obligations under the Notes and our other debt. If we breach our covenants under the Credit Facility, the January 2026 Notes, or the November 2026 Notes, or other debt and seek a waiver, we may not be able to obtain a waiver from the required lenders or holders thereof. If this occurs, we would be in default and our lenders or debt holders could exercise their rights as described above, and we could be forced into bankruptcy or liquidation. If we are unable to repay debt, lenders having secured obligations, including the lenders under the Credit Facility, could proceed against the collateral securing the debt. Because each of the Credit Facility, the indenture governing the January 2026 Notes, and the indenture governing the November 2026 Notes, the indenture governing the Notes has, and any future credit facilities will likely have, customary cross-default provisions, if the indebtedness under the Notes, the January 2026 Notes, the November 2026 Notes, the Credit Facility or under any future credit facility is accelerated, we may be unable to repay or finance the amounts due. </w:t>
      </w:r>
    </w:p>
    <w:p>
      <w:pPr>
        <w:pStyle w:val="TextBody"/>
        <w:bidi w:val="0"/>
        <w:spacing w:before="360" w:after="0"/>
        <w:jc w:val="left"/>
        <w:rPr>
          <w:rFonts w:ascii="Times New Roman" w:hAnsi="Times New Roman"/>
          <w:b/>
          <w:sz w:val="20"/>
        </w:rPr>
      </w:pPr>
      <w:r>
        <w:rPr>
          <w:rFonts w:ascii="Times New Roman" w:hAnsi="Times New Roman"/>
          <w:b/>
          <w:sz w:val="20"/>
        </w:rPr>
        <w:t xml:space="preserve">We may choose to redeem the Notes when prevailing interest rates are relatively low. </w:t>
      </w:r>
    </w:p>
    <w:p>
      <w:pPr>
        <w:pStyle w:val="TextBody"/>
        <w:bidi w:val="0"/>
        <w:spacing w:before="120" w:after="0"/>
        <w:jc w:val="left"/>
        <w:rPr>
          <w:rFonts w:ascii="Times New Roman" w:hAnsi="Times New Roman"/>
          <w:sz w:val="20"/>
        </w:rPr>
      </w:pPr>
      <w:r>
        <w:rPr>
          <w:rFonts w:ascii="Times New Roman" w:hAnsi="Times New Roman"/>
          <w:sz w:val="20"/>
        </w:rPr>
        <w:t xml:space="preserve">The Notes are redeemable in whole or in part upon certain conditions at any time or from time to time at our option. We may choose to redeem the Notes from time to time, especially if prevailing interest rates are lower than the rate borne by the Notes. If prevailing rates are lower at the time of redemption, and we redeem the Notes, you likely would not be able to reinvest the redemption proceeds in a comparable security at an effective interest rate as high as the interest rate on the Notes being redeemed. </w:t>
      </w:r>
    </w:p>
    <w:p>
      <w:pPr>
        <w:pStyle w:val="TextBody"/>
        <w:bidi w:val="0"/>
        <w:spacing w:before="360" w:after="0"/>
        <w:jc w:val="left"/>
        <w:rPr>
          <w:rFonts w:ascii="Times New Roman" w:hAnsi="Times New Roman"/>
          <w:b/>
          <w:sz w:val="20"/>
        </w:rPr>
      </w:pPr>
      <w:r>
        <w:rPr>
          <w:rFonts w:ascii="Times New Roman" w:hAnsi="Times New Roman"/>
          <w:b/>
          <w:sz w:val="20"/>
        </w:rPr>
        <w:t xml:space="preserve">We may not be able to repurchase the Notes upon a Change of Control Repurchase Event. </w:t>
      </w:r>
    </w:p>
    <w:p>
      <w:pPr>
        <w:pStyle w:val="TextBody"/>
        <w:bidi w:val="0"/>
        <w:spacing w:before="120" w:after="0"/>
        <w:jc w:val="left"/>
        <w:rPr>
          <w:rFonts w:ascii="Times New Roman" w:hAnsi="Times New Roman"/>
          <w:sz w:val="20"/>
        </w:rPr>
      </w:pPr>
      <w:r>
        <w:rPr>
          <w:rFonts w:ascii="Times New Roman" w:hAnsi="Times New Roman"/>
          <w:sz w:val="20"/>
        </w:rPr>
        <w:t>We may not be able to repurchase the Notes upon a Change of Control Repurchase Event because we may not have sufficient funds. We would not be able to borrow under our Credit Facility to finance such a repurchase of the Notes, and we expect that any future credit facility would have similar limitations. Upon a Change of Control Repurchase Event, holders of the Notes may require us to repurchase for cash some or all of the Notes at a repurchase price equal to 100% of the aggregate principal amount of the Notes being repurchased, plus accrued and unpaid interest to, but not including, the repurchase date. The terms of our Credit Facility also provide that certain change of control events will constitute an event of default thereunder entitling the lenders to accelerate any indebtedness outstanding under our Credit Facility at that time and to terminate our Credit Facility. Our and our subsidiaries’ future financing facilities may contain similar restrictions and provisions. Our failure to purchase such tendered Notes upon the occurrence of such Change of Control Repurchase Event would cause an event of default under the indenture governing the Notes and a cross-default under the agreements governing certain of our other indebtedness, including under the indenture governing the January 2026 Notes, the indenture governing the November 2026 Notes, and the agreement governing the Credit Facility, which may result in the acceleration of such indebtedness requiring us to repay such indebtedness immediately. If the holders of the Notes, the January 2026 Notes, or the November 2026 Notes exercise their respective right to require us to repurchase any Notes, any January 2026 Notes or any November 2026 Notes, respectively, upon a Change of Control Repurchase Event (as defined in the relevant indenture), the financial effect of any such repurchase could cause a default under our current and future debt instruments, even if the Change of Control Repurchase Event itself would not cause default. If a Change of Control Repurchase Event were to occur, we may not have sufficient funds to repay any such accelerated indebtedness. See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Description of the Notes — Offer to</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Repurchase Upon a Change of Control Repurchase Event</w:t>
      </w:r>
    </w:p>
    <w:p>
      <w:pPr>
        <w:pStyle w:val="TextBody"/>
        <w:bidi w:val="0"/>
        <w:spacing w:before="120" w:after="0"/>
        <w:jc w:val="left"/>
        <w:rPr/>
      </w:pPr>
      <w:r>
        <w:rPr/>
        <w:t xml:space="preserve">” </w:t>
      </w:r>
      <w:r>
        <w:rPr>
          <w:rFonts w:ascii="Times New Roman" w:hAnsi="Times New Roman"/>
          <w:sz w:val="20"/>
        </w:rPr>
        <w:t xml:space="preserve">in this prospectus supplement for more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 downgrade, suspension or withdrawal of the credit rating assigned by a rating agency to us or the Notes or change in the debt markets could cause the liquidity or market value of the Notes to decline significantly. </w:t>
      </w:r>
    </w:p>
    <w:p>
      <w:pPr>
        <w:pStyle w:val="TextBody"/>
        <w:bidi w:val="0"/>
        <w:spacing w:before="120" w:after="0"/>
        <w:jc w:val="left"/>
        <w:rPr>
          <w:rFonts w:ascii="Times New Roman" w:hAnsi="Times New Roman"/>
          <w:sz w:val="20"/>
        </w:rPr>
      </w:pPr>
      <w:r>
        <w:rPr>
          <w:rFonts w:ascii="Times New Roman" w:hAnsi="Times New Roman"/>
          <w:sz w:val="20"/>
        </w:rPr>
        <w:t xml:space="preserve">Our credit ratings are an assessment by rating agencies of our ability to pay our debts when due. Consequently, real or anticipated changes in our credit ratings will generally affect the market value of the Notes. These credit ratings may not reflect the potential impact of risks relating to the structure or marketing of the Notes. Credit ratings are not a recommendation to buy, sell or hold any security, and may be revised or withdrawn at any time by the issuing organization in its sole discretion. Neither we nor any underwriter undertakes any obligation to maintain our credit ratings or to advise holders of Notes of any changes in our credit ratings. There can be no assurance that our credit ratings will remain for any given period of time or that such credit ratings will not be lowered or withdrawn entirely by the rating agencies if in their judgment future circumstances relating to the basis of the credit ratings, such as adverse changes in our Company, so warrant. </w:t>
      </w:r>
    </w:p>
    <w:p>
      <w:pPr>
        <w:pStyle w:val="TextBody"/>
        <w:bidi w:val="0"/>
        <w:spacing w:before="360" w:after="0"/>
        <w:jc w:val="left"/>
        <w:rPr>
          <w:rFonts w:ascii="Times New Roman" w:hAnsi="Times New Roman"/>
          <w:b/>
          <w:sz w:val="20"/>
        </w:rPr>
      </w:pPr>
      <w:r>
        <w:rPr>
          <w:rFonts w:ascii="Times New Roman" w:hAnsi="Times New Roman"/>
          <w:b/>
          <w:sz w:val="20"/>
        </w:rPr>
        <w:t xml:space="preserve">An increase in market interest rates could result in a decrease in the market value of the Notes. </w:t>
      </w:r>
    </w:p>
    <w:p>
      <w:pPr>
        <w:pStyle w:val="TextBody"/>
        <w:bidi w:val="0"/>
        <w:spacing w:before="120" w:after="0"/>
        <w:jc w:val="left"/>
        <w:rPr>
          <w:rFonts w:ascii="Times New Roman" w:hAnsi="Times New Roman"/>
          <w:sz w:val="20"/>
        </w:rPr>
      </w:pPr>
      <w:r>
        <w:rPr>
          <w:rFonts w:ascii="Times New Roman" w:hAnsi="Times New Roman"/>
          <w:sz w:val="20"/>
        </w:rPr>
        <w:t xml:space="preserve">The condition of the financial markets and prevailing interest rates have fluctuated in the past and are likely to fluctuate in the future, which could have an adverse effect on the market prices of the Notes. In general, as market interest rates rise, debt securities bearing interest at fixed rates of interest decline in value. Consequently, if you purchase Notes bearing interest at fixed rates and market interest rates increase, the market values of those Notes may decline. We cannot predict the future level of market interest rates.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SPECIAL NOTE REGARDING FORWARD-LOOKING STATEMENTS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z w:val="20"/>
        </w:rPr>
      </w:pPr>
      <w:r>
        <w:rPr>
          <w:rFonts w:ascii="Times New Roman" w:hAnsi="Times New Roman"/>
          <w:sz w:val="20"/>
        </w:rPr>
        <w:t xml:space="preserve">Information included or incorporated by reference in this prospectus supplement, the accompanying prospectus and in any free writing prospectus relating to this offering of the Notes may contain “forward-looking statements.” These forward-looking statements are not historical facts, but rather are based on current expectations, estimates and projections about us, our current and prospective portfolio investments, our industry, our beliefs, and our assumptions. 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should not be regarded as a representation by us that our plans and objectives will be achieved. Words such as “anticipates,” “expects,” “intends,” “plans,” “will,” “may,” “continue,” “believes,” “seeks,” “estimates,” “would,” “could,” “should,” “targets,” “projects” and variations of these words and similar expressions are intended to identify forward-looking statements. The forward-looking statements contained in this prospectus supplement, the accompanying prospectus, and in any free writing prospectus relating to this offering of Notes involve risks and uncertainties, including statements as to: </w:t>
      </w:r>
    </w:p>
    <w:p>
      <w:pPr>
        <w:pStyle w:val="TextBody"/>
        <w:bidi w:val="0"/>
        <w:spacing w:before="0" w:after="0"/>
        <w:jc w:val="left"/>
        <w:rPr/>
      </w:pPr>
      <w:r>
        <w:rPr/>
        <w:t> </w:t>
      </w:r>
    </w:p>
    <w:tbl>
      <w:tblPr>
        <w:tblW w:w="2575" w:type="dxa"/>
        <w:jc w:val="left"/>
        <w:tblInd w:w="0" w:type="dxa"/>
        <w:tblLayout w:type="fixed"/>
        <w:tblCellMar>
          <w:top w:w="0" w:type="dxa"/>
          <w:left w:w="0" w:type="dxa"/>
          <w:bottom w:w="0" w:type="dxa"/>
          <w:right w:w="0" w:type="dxa"/>
        </w:tblCellMar>
      </w:tblPr>
      <w:tblGrid>
        <w:gridCol w:w="75"/>
        <w:gridCol w:w="110"/>
        <w:gridCol w:w="60"/>
        <w:gridCol w:w="23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future operating results; </w:t>
            </w:r>
          </w:p>
        </w:tc>
      </w:tr>
    </w:tbl>
    <w:p>
      <w:pPr>
        <w:pStyle w:val="TextBody"/>
        <w:bidi w:val="0"/>
        <w:spacing w:before="0" w:after="0"/>
        <w:jc w:val="left"/>
        <w:rPr/>
      </w:pPr>
      <w:r>
        <w:rPr/>
        <w:t> </w:t>
      </w:r>
    </w:p>
    <w:tbl>
      <w:tblPr>
        <w:tblW w:w="4015" w:type="dxa"/>
        <w:jc w:val="left"/>
        <w:tblInd w:w="0" w:type="dxa"/>
        <w:tblLayout w:type="fixed"/>
        <w:tblCellMar>
          <w:top w:w="0" w:type="dxa"/>
          <w:left w:w="0" w:type="dxa"/>
          <w:bottom w:w="0" w:type="dxa"/>
          <w:right w:w="0" w:type="dxa"/>
        </w:tblCellMar>
      </w:tblPr>
      <w:tblGrid>
        <w:gridCol w:w="75"/>
        <w:gridCol w:w="110"/>
        <w:gridCol w:w="60"/>
        <w:gridCol w:w="37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financial and lending markets;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business prospects and the prospects of our portfolio companies, including our and their ability to achieve our respective objectives; </w:t>
            </w:r>
          </w:p>
        </w:tc>
      </w:tr>
    </w:tbl>
    <w:p>
      <w:pPr>
        <w:pStyle w:val="TextBody"/>
        <w:bidi w:val="0"/>
        <w:spacing w:before="0" w:after="0"/>
        <w:jc w:val="left"/>
        <w:rPr/>
      </w:pPr>
      <w:r>
        <w:rPr/>
        <w:t> </w:t>
      </w:r>
    </w:p>
    <w:tbl>
      <w:tblPr>
        <w:tblW w:w="4375" w:type="dxa"/>
        <w:jc w:val="left"/>
        <w:tblInd w:w="0" w:type="dxa"/>
        <w:tblLayout w:type="fixed"/>
        <w:tblCellMar>
          <w:top w:w="0" w:type="dxa"/>
          <w:left w:w="0" w:type="dxa"/>
          <w:bottom w:w="0" w:type="dxa"/>
          <w:right w:w="0" w:type="dxa"/>
        </w:tblCellMar>
      </w:tblPr>
      <w:tblGrid>
        <w:gridCol w:w="75"/>
        <w:gridCol w:w="110"/>
        <w:gridCol w:w="60"/>
        <w:gridCol w:w="41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impact of investments that we expect to make; </w:t>
            </w:r>
          </w:p>
        </w:tc>
      </w:tr>
    </w:tbl>
    <w:p>
      <w:pPr>
        <w:pStyle w:val="TextBody"/>
        <w:bidi w:val="0"/>
        <w:spacing w:before="0" w:after="0"/>
        <w:jc w:val="left"/>
        <w:rPr/>
      </w:pPr>
      <w:r>
        <w:rPr/>
        <w:t> </w:t>
      </w:r>
    </w:p>
    <w:tbl>
      <w:tblPr>
        <w:tblW w:w="5605" w:type="dxa"/>
        <w:jc w:val="left"/>
        <w:tblInd w:w="0" w:type="dxa"/>
        <w:tblLayout w:type="fixed"/>
        <w:tblCellMar>
          <w:top w:w="0" w:type="dxa"/>
          <w:left w:w="0" w:type="dxa"/>
          <w:bottom w:w="0" w:type="dxa"/>
          <w:right w:w="0" w:type="dxa"/>
        </w:tblCellMar>
      </w:tblPr>
      <w:tblGrid>
        <w:gridCol w:w="75"/>
        <w:gridCol w:w="110"/>
        <w:gridCol w:w="60"/>
        <w:gridCol w:w="53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contractual arrangements and relationships with third parties; </w:t>
            </w:r>
          </w:p>
        </w:tc>
      </w:tr>
    </w:tbl>
    <w:p>
      <w:pPr>
        <w:pStyle w:val="TextBody"/>
        <w:bidi w:val="0"/>
        <w:spacing w:before="0" w:after="0"/>
        <w:jc w:val="left"/>
        <w:rPr/>
      </w:pPr>
      <w:r>
        <w:rPr/>
        <w:t> </w:t>
      </w:r>
    </w:p>
    <w:tbl>
      <w:tblPr>
        <w:tblW w:w="9490" w:type="dxa"/>
        <w:jc w:val="left"/>
        <w:tblInd w:w="0" w:type="dxa"/>
        <w:tblLayout w:type="fixed"/>
        <w:tblCellMar>
          <w:top w:w="0" w:type="dxa"/>
          <w:left w:w="0" w:type="dxa"/>
          <w:bottom w:w="0" w:type="dxa"/>
          <w:right w:w="0" w:type="dxa"/>
        </w:tblCellMar>
      </w:tblPr>
      <w:tblGrid>
        <w:gridCol w:w="75"/>
        <w:gridCol w:w="110"/>
        <w:gridCol w:w="60"/>
        <w:gridCol w:w="92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dependence of our future success on the general economy and its impact on the industries in which we invest;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economic downturn and its impacts on the ability of our portfolio companies to operate and the investment opportunities available to 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impact of geopolitical conditions, including the ongoing conflict between Ukraine and Russia, the ongoing conflicts in the Middle East, and U.S. and China relations, and its impact on financial market volatility, global economic markets, and various sectors, industries and markets for commodities globally;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uncertainty associated with the imposition of tariffs and trade barriers and changes in trade policies and the impact of such occurrences on our portfolio companies and our financial condition; </w:t>
            </w:r>
          </w:p>
        </w:tc>
      </w:tr>
    </w:tbl>
    <w:p>
      <w:pPr>
        <w:pStyle w:val="TextBody"/>
        <w:bidi w:val="0"/>
        <w:spacing w:before="0" w:after="0"/>
        <w:jc w:val="left"/>
        <w:rPr/>
      </w:pPr>
      <w:r>
        <w:rPr/>
        <w:t> </w:t>
      </w:r>
    </w:p>
    <w:tbl>
      <w:tblPr>
        <w:tblW w:w="5620" w:type="dxa"/>
        <w:jc w:val="left"/>
        <w:tblInd w:w="0" w:type="dxa"/>
        <w:tblLayout w:type="fixed"/>
        <w:tblCellMar>
          <w:top w:w="0" w:type="dxa"/>
          <w:left w:w="0" w:type="dxa"/>
          <w:bottom w:w="0" w:type="dxa"/>
          <w:right w:w="0" w:type="dxa"/>
        </w:tblCellMar>
      </w:tblPr>
      <w:tblGrid>
        <w:gridCol w:w="75"/>
        <w:gridCol w:w="110"/>
        <w:gridCol w:w="60"/>
        <w:gridCol w:w="53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our portfolio companies to achieve their objectives; </w:t>
            </w:r>
          </w:p>
        </w:tc>
      </w:tr>
    </w:tbl>
    <w:p>
      <w:pPr>
        <w:pStyle w:val="TextBody"/>
        <w:bidi w:val="0"/>
        <w:spacing w:before="0" w:after="0"/>
        <w:jc w:val="left"/>
        <w:rPr/>
      </w:pPr>
      <w:r>
        <w:rPr/>
        <w:t> </w:t>
      </w:r>
    </w:p>
    <w:tbl>
      <w:tblPr>
        <w:tblW w:w="3625" w:type="dxa"/>
        <w:jc w:val="left"/>
        <w:tblInd w:w="0" w:type="dxa"/>
        <w:tblLayout w:type="fixed"/>
        <w:tblCellMar>
          <w:top w:w="0" w:type="dxa"/>
          <w:left w:w="0" w:type="dxa"/>
          <w:bottom w:w="0" w:type="dxa"/>
          <w:right w:w="0" w:type="dxa"/>
        </w:tblCellMar>
      </w:tblPr>
      <w:tblGrid>
        <w:gridCol w:w="75"/>
        <w:gridCol w:w="110"/>
        <w:gridCol w:w="60"/>
        <w:gridCol w:w="33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expected financing and investments; </w:t>
            </w:r>
          </w:p>
        </w:tc>
      </w:tr>
    </w:tbl>
    <w:p>
      <w:pPr>
        <w:pStyle w:val="TextBody"/>
        <w:bidi w:val="0"/>
        <w:spacing w:before="0" w:after="0"/>
        <w:jc w:val="left"/>
        <w:rPr/>
      </w:pPr>
      <w:r>
        <w:rPr/>
        <w:t> </w:t>
      </w:r>
    </w:p>
    <w:tbl>
      <w:tblPr>
        <w:tblW w:w="4855" w:type="dxa"/>
        <w:jc w:val="left"/>
        <w:tblInd w:w="0" w:type="dxa"/>
        <w:tblLayout w:type="fixed"/>
        <w:tblCellMar>
          <w:top w:w="0" w:type="dxa"/>
          <w:left w:w="0" w:type="dxa"/>
          <w:bottom w:w="0" w:type="dxa"/>
          <w:right w:w="0" w:type="dxa"/>
        </w:tblCellMar>
      </w:tblPr>
      <w:tblGrid>
        <w:gridCol w:w="75"/>
        <w:gridCol w:w="110"/>
        <w:gridCol w:w="60"/>
        <w:gridCol w:w="46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adequacy of our cash resources and working capital; </w:t>
            </w:r>
          </w:p>
        </w:tc>
      </w:tr>
    </w:tbl>
    <w:p>
      <w:pPr>
        <w:pStyle w:val="TextBody"/>
        <w:bidi w:val="0"/>
        <w:spacing w:before="0" w:after="0"/>
        <w:jc w:val="left"/>
        <w:rPr/>
      </w:pPr>
      <w:r>
        <w:rPr/>
        <w:t> </w:t>
      </w:r>
    </w:p>
    <w:tbl>
      <w:tblPr>
        <w:tblW w:w="6745" w:type="dxa"/>
        <w:jc w:val="left"/>
        <w:tblInd w:w="0" w:type="dxa"/>
        <w:tblLayout w:type="fixed"/>
        <w:tblCellMar>
          <w:top w:w="0" w:type="dxa"/>
          <w:left w:w="0" w:type="dxa"/>
          <w:bottom w:w="0" w:type="dxa"/>
          <w:right w:w="0" w:type="dxa"/>
        </w:tblCellMar>
      </w:tblPr>
      <w:tblGrid>
        <w:gridCol w:w="75"/>
        <w:gridCol w:w="110"/>
        <w:gridCol w:w="60"/>
        <w:gridCol w:w="65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timing of cash flows, if any, from the operations of our portfolio companies; </w:t>
            </w:r>
          </w:p>
        </w:tc>
      </w:tr>
    </w:tbl>
    <w:p>
      <w:pPr>
        <w:pStyle w:val="TextBody"/>
        <w:bidi w:val="0"/>
        <w:spacing w:before="0" w:after="0"/>
        <w:jc w:val="left"/>
        <w:rPr/>
      </w:pPr>
      <w:r>
        <w:rPr/>
        <w:t> </w:t>
      </w:r>
    </w:p>
    <w:tbl>
      <w:tblPr>
        <w:tblW w:w="9190" w:type="dxa"/>
        <w:jc w:val="left"/>
        <w:tblInd w:w="0" w:type="dxa"/>
        <w:tblLayout w:type="fixed"/>
        <w:tblCellMar>
          <w:top w:w="0" w:type="dxa"/>
          <w:left w:w="0" w:type="dxa"/>
          <w:bottom w:w="0" w:type="dxa"/>
          <w:right w:w="0" w:type="dxa"/>
        </w:tblCellMar>
      </w:tblPr>
      <w:tblGrid>
        <w:gridCol w:w="75"/>
        <w:gridCol w:w="110"/>
        <w:gridCol w:w="60"/>
        <w:gridCol w:w="89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the Adviser to locate suitable investments for us and to monitor and administer our investments; </w:t>
            </w:r>
          </w:p>
        </w:tc>
      </w:tr>
    </w:tbl>
    <w:p>
      <w:pPr>
        <w:pStyle w:val="TextBody"/>
        <w:bidi w:val="0"/>
        <w:spacing w:before="0" w:after="0"/>
        <w:jc w:val="left"/>
        <w:rPr/>
      </w:pPr>
      <w:r>
        <w:rPr/>
        <w:t> </w:t>
      </w:r>
    </w:p>
    <w:tbl>
      <w:tblPr>
        <w:tblW w:w="6430" w:type="dxa"/>
        <w:jc w:val="left"/>
        <w:tblInd w:w="0" w:type="dxa"/>
        <w:tblLayout w:type="fixed"/>
        <w:tblCellMar>
          <w:top w:w="0" w:type="dxa"/>
          <w:left w:w="0" w:type="dxa"/>
          <w:bottom w:w="0" w:type="dxa"/>
          <w:right w:w="0" w:type="dxa"/>
        </w:tblCellMar>
      </w:tblPr>
      <w:tblGrid>
        <w:gridCol w:w="75"/>
        <w:gridCol w:w="110"/>
        <w:gridCol w:w="60"/>
        <w:gridCol w:w="61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the Adviser to attract and retain highly talented professionals; </w:t>
            </w:r>
          </w:p>
        </w:tc>
      </w:tr>
    </w:tbl>
    <w:p>
      <w:pPr>
        <w:pStyle w:val="TextBody"/>
        <w:bidi w:val="0"/>
        <w:spacing w:before="0" w:after="0"/>
        <w:jc w:val="left"/>
        <w:rPr/>
      </w:pPr>
      <w:r>
        <w:rPr/>
        <w:t> </w:t>
      </w:r>
    </w:p>
    <w:tbl>
      <w:tblPr>
        <w:tblW w:w="3745" w:type="dxa"/>
        <w:jc w:val="left"/>
        <w:tblInd w:w="0" w:type="dxa"/>
        <w:tblLayout w:type="fixed"/>
        <w:tblCellMar>
          <w:top w:w="0" w:type="dxa"/>
          <w:left w:w="0" w:type="dxa"/>
          <w:bottom w:w="0" w:type="dxa"/>
          <w:right w:w="0" w:type="dxa"/>
        </w:tblCellMar>
      </w:tblPr>
      <w:tblGrid>
        <w:gridCol w:w="75"/>
        <w:gridCol w:w="110"/>
        <w:gridCol w:w="60"/>
        <w:gridCol w:w="35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regulatory structure and tax treatment; </w:t>
            </w:r>
          </w:p>
        </w:tc>
      </w:tr>
    </w:tbl>
    <w:p>
      <w:pPr>
        <w:pStyle w:val="TextBody"/>
        <w:bidi w:val="0"/>
        <w:spacing w:before="0" w:after="0"/>
        <w:jc w:val="left"/>
        <w:rPr/>
      </w:pPr>
      <w:r>
        <w:rPr/>
        <w:t> </w:t>
      </w:r>
    </w:p>
    <w:tbl>
      <w:tblPr>
        <w:tblW w:w="7825" w:type="dxa"/>
        <w:jc w:val="left"/>
        <w:tblInd w:w="0" w:type="dxa"/>
        <w:tblLayout w:type="fixed"/>
        <w:tblCellMar>
          <w:top w:w="0" w:type="dxa"/>
          <w:left w:w="0" w:type="dxa"/>
          <w:bottom w:w="0" w:type="dxa"/>
          <w:right w:w="0" w:type="dxa"/>
        </w:tblCellMar>
      </w:tblPr>
      <w:tblGrid>
        <w:gridCol w:w="75"/>
        <w:gridCol w:w="110"/>
        <w:gridCol w:w="60"/>
        <w:gridCol w:w="75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operate as a BDC and a RIC and each of the SBIC Funds to operate as an SBIC; </w:t>
            </w:r>
          </w:p>
        </w:tc>
      </w:tr>
    </w:tbl>
    <w:p>
      <w:pPr>
        <w:pStyle w:val="TextBody"/>
        <w:bidi w:val="0"/>
        <w:spacing w:before="0" w:after="0"/>
        <w:jc w:val="left"/>
        <w:rPr/>
      </w:pPr>
      <w:r>
        <w:rPr/>
        <w:t> </w:t>
      </w:r>
    </w:p>
    <w:tbl>
      <w:tblPr>
        <w:tblW w:w="5110" w:type="dxa"/>
        <w:jc w:val="left"/>
        <w:tblInd w:w="0" w:type="dxa"/>
        <w:tblLayout w:type="fixed"/>
        <w:tblCellMar>
          <w:top w:w="0" w:type="dxa"/>
          <w:left w:w="0" w:type="dxa"/>
          <w:bottom w:w="0" w:type="dxa"/>
          <w:right w:w="0" w:type="dxa"/>
        </w:tblCellMar>
      </w:tblPr>
      <w:tblGrid>
        <w:gridCol w:w="75"/>
        <w:gridCol w:w="110"/>
        <w:gridCol w:w="60"/>
        <w:gridCol w:w="48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timing, form and amount of any dividend distributions; </w:t>
            </w:r>
          </w:p>
        </w:tc>
      </w:tr>
    </w:tbl>
    <w:p>
      <w:pPr>
        <w:pStyle w:val="TextBody"/>
        <w:bidi w:val="0"/>
        <w:spacing w:before="0" w:after="0"/>
        <w:jc w:val="left"/>
        <w:rPr/>
      </w:pPr>
      <w:r>
        <w:rPr/>
        <w:t> </w:t>
      </w:r>
    </w:p>
    <w:tbl>
      <w:tblPr>
        <w:tblW w:w="9370" w:type="dxa"/>
        <w:jc w:val="left"/>
        <w:tblInd w:w="0" w:type="dxa"/>
        <w:tblLayout w:type="fixed"/>
        <w:tblCellMar>
          <w:top w:w="0" w:type="dxa"/>
          <w:left w:w="0" w:type="dxa"/>
          <w:bottom w:w="0" w:type="dxa"/>
          <w:right w:w="0" w:type="dxa"/>
        </w:tblCellMar>
      </w:tblPr>
      <w:tblGrid>
        <w:gridCol w:w="75"/>
        <w:gridCol w:w="110"/>
        <w:gridCol w:w="60"/>
        <w:gridCol w:w="91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impact of interest rate volatility and the elevated level of inflation on our business and portfolio companies;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p>
    <w:p>
      <w:pPr>
        <w:pStyle w:val="HorizontalLine"/>
        <w:pBdr>
          <w:bottom w:val="double" w:sz="2" w:space="0" w:color="808080"/>
        </w:pBdr>
        <w:bidi w:val="0"/>
        <w:spacing w:before="0" w:after="283"/>
        <w:jc w:val="left"/>
        <w:rPr/>
      </w:pPr>
      <w:r>
        <w:rPr/>
      </w:r>
    </w:p>
    <w:tbl>
      <w:tblPr>
        <w:tblW w:w="9430" w:type="dxa"/>
        <w:jc w:val="left"/>
        <w:tblInd w:w="0" w:type="dxa"/>
        <w:tblLayout w:type="fixed"/>
        <w:tblCellMar>
          <w:top w:w="0" w:type="dxa"/>
          <w:left w:w="0" w:type="dxa"/>
          <w:bottom w:w="0" w:type="dxa"/>
          <w:right w:w="0" w:type="dxa"/>
        </w:tblCellMar>
      </w:tblPr>
      <w:tblGrid>
        <w:gridCol w:w="75"/>
        <w:gridCol w:w="110"/>
        <w:gridCol w:w="60"/>
        <w:gridCol w:w="91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valuation of any investments in portfolio companies, particularly those having no liquid trading market; and </w:t>
            </w:r>
          </w:p>
        </w:tc>
      </w:tr>
    </w:tbl>
    <w:p>
      <w:pPr>
        <w:pStyle w:val="TextBody"/>
        <w:bidi w:val="0"/>
        <w:spacing w:before="0" w:after="0"/>
        <w:jc w:val="left"/>
        <w:rPr/>
      </w:pPr>
      <w:r>
        <w:rPr/>
        <w:t> </w:t>
      </w:r>
    </w:p>
    <w:tbl>
      <w:tblPr>
        <w:tblW w:w="3505" w:type="dxa"/>
        <w:jc w:val="left"/>
        <w:tblInd w:w="0" w:type="dxa"/>
        <w:tblLayout w:type="fixed"/>
        <w:tblCellMar>
          <w:top w:w="0" w:type="dxa"/>
          <w:left w:w="0" w:type="dxa"/>
          <w:bottom w:w="0" w:type="dxa"/>
          <w:right w:w="0" w:type="dxa"/>
        </w:tblCellMar>
      </w:tblPr>
      <w:tblGrid>
        <w:gridCol w:w="75"/>
        <w:gridCol w:w="110"/>
        <w:gridCol w:w="60"/>
        <w:gridCol w:w="32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recover unrealized losses.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economic downturn and significant disruptions to our portfolio companies, including supply chain disruptions, labor shortages, and uncertainty associated with the imposition of tariffs, could impair our portfolio companies’ ability to continue to operate, which could lead to the loss of some or all of our investments in such portfolio companies;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contraction of available credit and/or an inability to access the equity markets could impair our lending and investment activities;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interest rate volatility could adversely affect our results, particularly because we use leverage as part of our investment strategy;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elevated level of inflation could adversely affect our business, results of operations and financial condition of our portfolio companies, which may, in turn, impact the valuation of such portfolio companies; and </w:t>
            </w:r>
          </w:p>
        </w:tc>
      </w:tr>
    </w:tbl>
    <w:p>
      <w:pPr>
        <w:pStyle w:val="TextBody"/>
        <w:bidi w:val="0"/>
        <w:spacing w:before="0" w:after="0"/>
        <w:jc w:val="left"/>
        <w:rPr/>
      </w:pPr>
      <w:r>
        <w:rPr/>
        <w:t> </w:t>
      </w:r>
    </w:p>
    <w:tbl>
      <w:tblPr>
        <w:tblW w:w="9460" w:type="dxa"/>
        <w:jc w:val="left"/>
        <w:tblInd w:w="0" w:type="dxa"/>
        <w:tblLayout w:type="fixed"/>
        <w:tblCellMar>
          <w:top w:w="0" w:type="dxa"/>
          <w:left w:w="0" w:type="dxa"/>
          <w:bottom w:w="0" w:type="dxa"/>
          <w:right w:w="0" w:type="dxa"/>
        </w:tblCellMar>
      </w:tblPr>
      <w:tblGrid>
        <w:gridCol w:w="75"/>
        <w:gridCol w:w="110"/>
        <w:gridCol w:w="60"/>
        <w:gridCol w:w="92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those risks, uncertainties and other factors we identify under “</w:t>
            </w:r>
          </w:p>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Supplementary Risk Factors</w:t>
            </w:r>
          </w:p>
          <w:p>
            <w:pPr>
              <w:pStyle w:val="TableContents"/>
              <w:bidi w:val="0"/>
              <w:spacing w:before="0" w:after="0"/>
              <w:jc w:val="left"/>
              <w:rPr/>
            </w:pPr>
            <w:r>
              <w:rPr/>
              <w:t xml:space="preserve">” </w:t>
            </w:r>
            <w:r>
              <w:rPr>
                <w:rFonts w:ascii="Times New Roman" w:hAnsi="Times New Roman"/>
                <w:sz w:val="20"/>
              </w:rPr>
              <w:t>in this prospectus supplement and under “</w:t>
            </w:r>
          </w:p>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Risk Factors</w:t>
            </w:r>
          </w:p>
          <w:p>
            <w:pPr>
              <w:pStyle w:val="TableContents"/>
              <w:bidi w:val="0"/>
              <w:spacing w:before="0" w:after="0"/>
              <w:jc w:val="left"/>
              <w:rPr/>
            </w:pPr>
            <w:r>
              <w:rPr/>
              <w:t xml:space="preserve">” </w:t>
            </w:r>
            <w:r>
              <w:rPr>
                <w:rFonts w:ascii="Times New Roman" w:hAnsi="Times New Roman"/>
                <w:sz w:val="20"/>
              </w:rPr>
              <w:t xml:space="preserve">in the accompanying prospectus and in our Annual Report on Form 10-K and in our other filings with the SEC.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caution readers not to place undue reliance on any such forward-looking statements, which speak only as of the date made. Actual results could differ materially from those anticipated in our forward-looking statements and future results could differ materially from our historical performance. Except as required by law, we undertake no obligation to publicly update or revise any forward-looking statements, whether as a result of new information, future events or otherwise, after the date of this prospectus supplement. Although we undertake no obligation to revise or update any forward-looking statements, whether as a result of new information, future events, or otherwise, you are advised to consult any additional disclosures that we may make directly to you or through reports or other documents we have filed, or in the future may file, with the SEC, including subsequent annual reports on Form 10-K, quarterly reports on Form 10-Q and current reports on Form 8-K.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USE OF PROCEEDS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We estimate that the net proceeds we receive from the sale of $100,000,000 aggregate principal amount of the Notes in this offering will be $98,905,000, based on the public offering price of 100.705% of the aggregate principal amount of the Notes, after deducting the underwriting discount of $1,500,000 payable by us and estimated offering expenses of approximately $300,000 payable by us.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We intend to use the net proceeds from this offering to redeem in full the outstanding January 2026 Notes. As of September 30, 2025, the outstanding aggregate principal amount of the January 2026 Notes was $100.0 million. The January 2026 Notes bear interest at a rate of 4.75% per year. The January 2026 Notes mature on January 31,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CAPITALIZATION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our capitalization as of June 30, 2025: </w:t>
      </w:r>
    </w:p>
    <w:p>
      <w:pPr>
        <w:pStyle w:val="TextBody"/>
        <w:bidi w:val="0"/>
        <w:spacing w:before="0" w:after="0"/>
        <w:jc w:val="left"/>
        <w:rPr/>
      </w:pPr>
      <w:r>
        <w:rPr/>
        <w:t> </w:t>
      </w:r>
    </w:p>
    <w:tbl>
      <w:tblPr>
        <w:tblW w:w="2170" w:type="dxa"/>
        <w:jc w:val="left"/>
        <w:tblInd w:w="0" w:type="dxa"/>
        <w:tblLayout w:type="fixed"/>
        <w:tblCellMar>
          <w:top w:w="0" w:type="dxa"/>
          <w:left w:w="0" w:type="dxa"/>
          <w:bottom w:w="0" w:type="dxa"/>
          <w:right w:w="0" w:type="dxa"/>
        </w:tblCellMar>
      </w:tblPr>
      <w:tblGrid>
        <w:gridCol w:w="75"/>
        <w:gridCol w:w="110"/>
        <w:gridCol w:w="60"/>
        <w:gridCol w:w="19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an actual basis;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on an as-adjusted basis to give effect to the sale of $100,000,000 aggregate principal amount of the Notes offered hereby, based on the public offering price of 100.705% of the aggregate principal amount of the Notes, after deducting the underwriting discount of $1,500,000 and estimated offering expenses of approximately $300,000 payable by us, and the application of the estimated net proceeds thereof. See “</w:t>
            </w:r>
          </w:p>
          <w:p>
            <w:pPr>
              <w:pStyle w:val="TableContents"/>
              <w:bidi w:val="0"/>
              <w:spacing w:before="0" w:after="0"/>
              <w:jc w:val="left"/>
              <w:rPr>
                <w:rFonts w:ascii="Times New Roman" w:hAnsi="Times New Roman"/>
                <w:i/>
                <w:sz w:val="20"/>
              </w:rPr>
            </w:pPr>
            <w:r>
              <w:rPr>
                <w:rFonts w:ascii="Times New Roman" w:hAnsi="Times New Roman"/>
                <w:i/>
                <w:sz w:val="20"/>
              </w:rPr>
              <w:t>Use of Proceeds</w:t>
            </w:r>
          </w:p>
          <w:p>
            <w:pPr>
              <w:pStyle w:val="TableContents"/>
              <w:bidi w:val="0"/>
              <w:spacing w:before="0" w:after="0"/>
              <w:jc w:val="left"/>
              <w:rPr/>
            </w:pPr>
            <w:r>
              <w:rPr/>
              <w:t xml:space="preserve">” </w:t>
            </w:r>
            <w:r>
              <w:rPr>
                <w:rFonts w:ascii="Times New Roman" w:hAnsi="Times New Roman"/>
                <w:sz w:val="20"/>
              </w:rPr>
              <w:t xml:space="preserve">in this prospectus supplement.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151"/>
        <w:gridCol w:w="120"/>
        <w:gridCol w:w="152"/>
        <w:gridCol w:w="1079"/>
        <w:gridCol w:w="155"/>
        <w:gridCol w:w="120"/>
        <w:gridCol w:w="156"/>
        <w:gridCol w:w="1099"/>
        <w:gridCol w:w="173"/>
      </w:tblGrid>
      <w:tr>
        <w:trPr/>
        <w:tc>
          <w:tcPr>
            <w:tcW w:w="715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151"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761" w:type="dxa"/>
            <w:gridSpan w:val="6"/>
            <w:tcBorders/>
            <w:vAlign w:val="center"/>
          </w:tcPr>
          <w:p>
            <w:pPr>
              <w:pStyle w:val="TableContents"/>
              <w:bidi w:val="0"/>
              <w:spacing w:before="0" w:after="0"/>
              <w:jc w:val="center"/>
              <w:rPr>
                <w:b/>
                <w:spacing w:val="0"/>
              </w:rPr>
            </w:pPr>
            <w:r>
              <w:rPr>
                <w:b/>
                <w:spacing w:val="0"/>
              </w:rPr>
              <w:t>As of June 30, 2025</w:t>
            </w:r>
          </w:p>
        </w:tc>
        <w:tc>
          <w:tcPr>
            <w:tcW w:w="173" w:type="dxa"/>
            <w:tcBorders/>
            <w:vAlign w:val="center"/>
          </w:tcPr>
          <w:p>
            <w:pPr>
              <w:pStyle w:val="TableContents"/>
              <w:bidi w:val="0"/>
              <w:spacing w:before="0" w:after="0"/>
              <w:jc w:val="left"/>
              <w:rPr>
                <w:spacing w:val="0"/>
              </w:rPr>
            </w:pPr>
            <w:r>
              <w:rPr>
                <w:spacing w:val="0"/>
              </w:rPr>
              <w:t> </w:t>
            </w:r>
          </w:p>
        </w:tc>
      </w:tr>
      <w:tr>
        <w:trPr/>
        <w:tc>
          <w:tcPr>
            <w:tcW w:w="7151"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231" w:type="dxa"/>
            <w:gridSpan w:val="2"/>
            <w:tcBorders/>
            <w:vAlign w:val="center"/>
          </w:tcPr>
          <w:p>
            <w:pPr>
              <w:pStyle w:val="TableContents"/>
              <w:bidi w:val="0"/>
              <w:spacing w:before="0" w:after="0"/>
              <w:jc w:val="center"/>
              <w:rPr>
                <w:b/>
                <w:spacing w:val="0"/>
              </w:rPr>
            </w:pPr>
            <w:r>
              <w:rPr>
                <w:b/>
                <w:spacing w:val="0"/>
              </w:rPr>
              <w:t>Actual</w:t>
              <w:br/>
              <w:t>(Unaudited)</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255" w:type="dxa"/>
            <w:gridSpan w:val="2"/>
            <w:tcBorders/>
            <w:vAlign w:val="center"/>
          </w:tcPr>
          <w:p>
            <w:pPr>
              <w:pStyle w:val="TableContents"/>
              <w:bidi w:val="0"/>
              <w:spacing w:before="0" w:after="0"/>
              <w:jc w:val="center"/>
              <w:rPr>
                <w:b/>
                <w:spacing w:val="0"/>
              </w:rPr>
            </w:pPr>
            <w:r>
              <w:rPr>
                <w:b/>
                <w:spacing w:val="0"/>
              </w:rPr>
              <w:t>As Adjusted</w:t>
              <w:br/>
              <w:t>(Unaudited)</w:t>
            </w:r>
          </w:p>
        </w:tc>
        <w:tc>
          <w:tcPr>
            <w:tcW w:w="173" w:type="dxa"/>
            <w:tcBorders/>
            <w:vAlign w:val="center"/>
          </w:tcPr>
          <w:p>
            <w:pPr>
              <w:pStyle w:val="TableContents"/>
              <w:bidi w:val="0"/>
              <w:spacing w:before="0" w:after="0"/>
              <w:jc w:val="left"/>
              <w:rPr>
                <w:spacing w:val="0"/>
              </w:rPr>
            </w:pPr>
            <w:r>
              <w:rPr>
                <w:spacing w:val="0"/>
              </w:rPr>
              <w:t> </w:t>
            </w:r>
          </w:p>
        </w:tc>
      </w:tr>
      <w:tr>
        <w:trPr/>
        <w:tc>
          <w:tcPr>
            <w:tcW w:w="7151"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761" w:type="dxa"/>
            <w:gridSpan w:val="6"/>
            <w:tcBorders/>
            <w:vAlign w:val="center"/>
          </w:tcPr>
          <w:p>
            <w:pPr>
              <w:pStyle w:val="TableContents"/>
              <w:bidi w:val="0"/>
              <w:spacing w:before="0" w:after="0"/>
              <w:jc w:val="center"/>
              <w:rPr>
                <w:i/>
                <w:caps w:val="false"/>
                <w:smallCaps w:val="false"/>
                <w:spacing w:val="0"/>
              </w:rPr>
            </w:pPr>
            <w:r>
              <w:rPr>
                <w:i/>
                <w:caps w:val="false"/>
                <w:smallCaps w:val="false"/>
                <w:spacing w:val="0"/>
              </w:rPr>
              <w:t>(Dollars</w:t>
            </w:r>
          </w:p>
          <w:p>
            <w:pPr>
              <w:pStyle w:val="TableContents"/>
              <w:bidi w:val="0"/>
              <w:spacing w:before="0" w:after="0"/>
              <w:jc w:val="center"/>
              <w:rPr>
                <w:caps w:val="false"/>
                <w:smallCaps w:val="false"/>
                <w:spacing w:val="0"/>
              </w:rPr>
            </w:pPr>
            <w:r>
              <w:rPr>
                <w:caps w:val="false"/>
                <w:smallCaps w:val="false"/>
                <w:spacing w:val="0"/>
              </w:rPr>
              <w:t> </w:t>
            </w:r>
            <w:r>
              <w:rPr>
                <w:i/>
                <w:caps w:val="false"/>
                <w:smallCaps w:val="false"/>
                <w:spacing w:val="0"/>
              </w:rPr>
              <w:t>in</w:t>
            </w:r>
          </w:p>
          <w:p>
            <w:pPr>
              <w:pStyle w:val="TableContents"/>
              <w:bidi w:val="0"/>
              <w:spacing w:before="0" w:after="0"/>
              <w:jc w:val="center"/>
              <w:rPr>
                <w:caps w:val="false"/>
                <w:smallCaps w:val="false"/>
                <w:spacing w:val="0"/>
              </w:rPr>
            </w:pPr>
            <w:r>
              <w:rPr>
                <w:caps w:val="false"/>
                <w:smallCaps w:val="false"/>
                <w:spacing w:val="0"/>
              </w:rPr>
              <w:t> </w:t>
            </w:r>
            <w:r>
              <w:rPr>
                <w:i/>
                <w:caps w:val="false"/>
                <w:smallCaps w:val="false"/>
                <w:spacing w:val="0"/>
              </w:rPr>
              <w:t>thousands,</w:t>
            </w:r>
          </w:p>
          <w:p>
            <w:pPr>
              <w:pStyle w:val="TableContents"/>
              <w:bidi w:val="0"/>
              <w:spacing w:before="0" w:after="0"/>
              <w:jc w:val="center"/>
              <w:rPr>
                <w:caps w:val="false"/>
                <w:smallCaps w:val="false"/>
                <w:spacing w:val="0"/>
              </w:rPr>
            </w:pPr>
            <w:r>
              <w:rPr>
                <w:caps w:val="false"/>
                <w:smallCaps w:val="false"/>
                <w:spacing w:val="0"/>
              </w:rPr>
              <w:t> </w:t>
            </w:r>
            <w:r>
              <w:rPr>
                <w:i/>
                <w:caps w:val="false"/>
                <w:smallCaps w:val="false"/>
                <w:spacing w:val="0"/>
              </w:rPr>
              <w:t>except</w:t>
            </w:r>
          </w:p>
          <w:p>
            <w:pPr>
              <w:pStyle w:val="TableContents"/>
              <w:bidi w:val="0"/>
              <w:spacing w:before="0" w:after="0"/>
              <w:jc w:val="center"/>
              <w:rPr>
                <w:caps w:val="false"/>
                <w:smallCaps w:val="false"/>
                <w:spacing w:val="0"/>
              </w:rPr>
            </w:pPr>
            <w:r>
              <w:rPr>
                <w:caps w:val="false"/>
                <w:smallCaps w:val="false"/>
                <w:spacing w:val="0"/>
              </w:rPr>
              <w:t> </w:t>
            </w:r>
            <w:r>
              <w:rPr>
                <w:i/>
                <w:caps w:val="false"/>
                <w:smallCaps w:val="false"/>
                <w:spacing w:val="0"/>
              </w:rPr>
              <w:t>per</w:t>
            </w:r>
          </w:p>
          <w:p>
            <w:pPr>
              <w:pStyle w:val="TableContents"/>
              <w:bidi w:val="0"/>
              <w:spacing w:before="0" w:after="0"/>
              <w:jc w:val="center"/>
              <w:rPr>
                <w:caps w:val="false"/>
                <w:smallCaps w:val="false"/>
                <w:spacing w:val="0"/>
              </w:rPr>
            </w:pPr>
            <w:r>
              <w:rPr>
                <w:caps w:val="false"/>
                <w:smallCaps w:val="false"/>
                <w:spacing w:val="0"/>
              </w:rPr>
              <w:t> </w:t>
            </w:r>
            <w:r>
              <w:rPr>
                <w:i/>
                <w:caps w:val="false"/>
                <w:smallCaps w:val="false"/>
                <w:spacing w:val="0"/>
              </w:rPr>
              <w:t>share</w:t>
            </w:r>
          </w:p>
          <w:p>
            <w:pPr>
              <w:pStyle w:val="TableContents"/>
              <w:bidi w:val="0"/>
              <w:spacing w:before="0" w:after="0"/>
              <w:jc w:val="center"/>
              <w:rPr>
                <w:caps w:val="false"/>
                <w:smallCaps w:val="false"/>
                <w:spacing w:val="0"/>
              </w:rPr>
            </w:pPr>
            <w:r>
              <w:rPr>
                <w:caps w:val="false"/>
                <w:smallCaps w:val="false"/>
                <w:spacing w:val="0"/>
              </w:rPr>
              <w:t> </w:t>
            </w:r>
            <w:r>
              <w:rPr>
                <w:i/>
                <w:caps w:val="false"/>
                <w:smallCaps w:val="false"/>
                <w:spacing w:val="0"/>
              </w:rPr>
              <w:t>data)</w:t>
            </w:r>
          </w:p>
        </w:tc>
        <w:tc>
          <w:tcPr>
            <w:tcW w:w="173" w:type="dxa"/>
            <w:tcBorders/>
            <w:vAlign w:val="center"/>
          </w:tcPr>
          <w:p>
            <w:pPr>
              <w:pStyle w:val="TableContents"/>
              <w:bidi w:val="0"/>
              <w:spacing w:before="0" w:after="0"/>
              <w:jc w:val="left"/>
              <w:rPr>
                <w:spacing w:val="0"/>
              </w:rPr>
            </w:pPr>
            <w:r>
              <w:rPr>
                <w:spacing w:val="0"/>
              </w:rPr>
              <w:t> </w:t>
            </w:r>
          </w:p>
        </w:tc>
      </w:tr>
      <w:tr>
        <w:trPr/>
        <w:tc>
          <w:tcPr>
            <w:tcW w:w="7151"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2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sz w:val="4"/>
                <w:szCs w:val="4"/>
              </w:rPr>
            </w:pPr>
            <w:r>
              <w:rPr>
                <w:sz w:val="4"/>
                <w:szCs w:val="4"/>
              </w:rPr>
            </w:r>
          </w:p>
        </w:tc>
        <w:tc>
          <w:tcPr>
            <w:tcW w:w="107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sz w:val="4"/>
                <w:szCs w:val="4"/>
              </w:rPr>
            </w:pPr>
            <w:r>
              <w:rPr>
                <w:sz w:val="4"/>
                <w:szCs w:val="4"/>
              </w:rPr>
            </w:r>
          </w:p>
        </w:tc>
        <w:tc>
          <w:tcPr>
            <w:tcW w:w="1099" w:type="dxa"/>
            <w:tcBorders/>
            <w:shd w:fill="CCEEFF" w:val="clear"/>
            <w:vAlign w:val="center"/>
          </w:tcPr>
          <w:p>
            <w:pPr>
              <w:pStyle w:val="TableContents"/>
              <w:bidi w:val="0"/>
              <w:spacing w:before="0" w:after="283"/>
              <w:jc w:val="left"/>
              <w:rPr>
                <w:sz w:val="4"/>
                <w:szCs w:val="4"/>
              </w:rPr>
            </w:pPr>
            <w:r>
              <w:rPr>
                <w:sz w:val="4"/>
                <w:szCs w:val="4"/>
              </w:rPr>
            </w:r>
          </w:p>
        </w:tc>
        <w:tc>
          <w:tcPr>
            <w:tcW w:w="173" w:type="dxa"/>
            <w:tcBorders/>
            <w:shd w:fill="CCEEFF" w:val="clear"/>
            <w:vAlign w:val="center"/>
          </w:tcPr>
          <w:p>
            <w:pPr>
              <w:pStyle w:val="TableContents"/>
              <w:bidi w:val="0"/>
              <w:spacing w:before="0" w:after="283"/>
              <w:jc w:val="left"/>
              <w:rPr>
                <w:sz w:val="4"/>
                <w:szCs w:val="4"/>
              </w:rPr>
            </w:pPr>
            <w:r>
              <w:rPr>
                <w:sz w:val="4"/>
                <w:szCs w:val="4"/>
              </w:rPr>
            </w:r>
          </w:p>
        </w:tc>
      </w:tr>
      <w:tr>
        <w:trPr/>
        <w:tc>
          <w:tcPr>
            <w:tcW w:w="71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w:t>
            </w:r>
          </w:p>
        </w:tc>
        <w:tc>
          <w:tcPr>
            <w:tcW w:w="1079" w:type="dxa"/>
            <w:tcBorders/>
            <w:vAlign w:val="center"/>
          </w:tcPr>
          <w:p>
            <w:pPr>
              <w:pStyle w:val="TableContents"/>
              <w:bidi w:val="0"/>
              <w:spacing w:before="0" w:after="283"/>
              <w:jc w:val="right"/>
              <w:rPr/>
            </w:pPr>
            <w:r>
              <w:rPr/>
              <w:t>91,207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w:t>
            </w:r>
          </w:p>
        </w:tc>
        <w:tc>
          <w:tcPr>
            <w:tcW w:w="1099" w:type="dxa"/>
            <w:tcBorders/>
            <w:vAlign w:val="center"/>
          </w:tcPr>
          <w:p>
            <w:pPr>
              <w:pStyle w:val="TableContents"/>
              <w:bidi w:val="0"/>
              <w:spacing w:before="0" w:after="283"/>
              <w:jc w:val="right"/>
              <w:rPr/>
            </w:pPr>
            <w:r>
              <w:rPr/>
              <w:t>90,376</w:t>
            </w:r>
          </w:p>
        </w:tc>
        <w:tc>
          <w:tcPr>
            <w:tcW w:w="173" w:type="dxa"/>
            <w:tcBorders/>
            <w:vAlign w:val="center"/>
          </w:tcPr>
          <w:p>
            <w:pPr>
              <w:pStyle w:val="TableContents"/>
              <w:bidi w:val="0"/>
              <w:spacing w:before="0" w:after="283"/>
              <w:jc w:val="left"/>
              <w:rPr/>
            </w:pPr>
            <w:r>
              <w:rPr/>
              <w:t> </w:t>
            </w:r>
          </w:p>
        </w:tc>
      </w:tr>
      <w:tr>
        <w:trPr/>
        <w:tc>
          <w:tcPr>
            <w:tcW w:w="715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Investments, at fair value</w:t>
            </w:r>
          </w:p>
        </w:tc>
        <w:tc>
          <w:tcPr>
            <w:tcW w:w="12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1,149,304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sz w:val="4"/>
                <w:szCs w:val="4"/>
              </w:rPr>
            </w:pPr>
            <w:r>
              <w:rPr>
                <w:sz w:val="4"/>
                <w:szCs w:val="4"/>
              </w:rPr>
            </w:r>
          </w:p>
        </w:tc>
        <w:tc>
          <w:tcPr>
            <w:tcW w:w="1099" w:type="dxa"/>
            <w:tcBorders/>
            <w:shd w:fill="CCEEFF" w:val="clear"/>
            <w:vAlign w:val="center"/>
          </w:tcPr>
          <w:p>
            <w:pPr>
              <w:pStyle w:val="TableContents"/>
              <w:bidi w:val="0"/>
              <w:spacing w:before="0" w:after="283"/>
              <w:jc w:val="right"/>
              <w:rPr/>
            </w:pPr>
            <w:r>
              <w:rPr/>
              <w:t>1,149,304</w:t>
            </w:r>
          </w:p>
        </w:tc>
        <w:tc>
          <w:tcPr>
            <w:tcW w:w="173" w:type="dxa"/>
            <w:tcBorders/>
            <w:shd w:fill="CCEEFF" w:val="clear"/>
            <w:vAlign w:val="center"/>
          </w:tcPr>
          <w:p>
            <w:pPr>
              <w:pStyle w:val="TableContents"/>
              <w:bidi w:val="0"/>
              <w:spacing w:before="0" w:after="283"/>
              <w:jc w:val="left"/>
              <w:rPr>
                <w:sz w:val="4"/>
                <w:szCs w:val="4"/>
              </w:rPr>
            </w:pPr>
            <w:r>
              <w:rPr>
                <w:sz w:val="4"/>
                <w:szCs w:val="4"/>
              </w:rPr>
            </w:r>
          </w:p>
        </w:tc>
      </w:tr>
      <w:tr>
        <w:trPr/>
        <w:tc>
          <w:tcPr>
            <w:tcW w:w="71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2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right"/>
              <w:rPr/>
            </w:pPr>
            <w:r>
              <w:rPr/>
              <w:t>16,949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right"/>
              <w:rPr/>
            </w:pPr>
            <w:r>
              <w:rPr/>
              <w:t>16,949</w:t>
            </w:r>
          </w:p>
        </w:tc>
        <w:tc>
          <w:tcPr>
            <w:tcW w:w="173" w:type="dxa"/>
            <w:tcBorders/>
            <w:vAlign w:val="center"/>
          </w:tcPr>
          <w:p>
            <w:pPr>
              <w:pStyle w:val="TableContents"/>
              <w:bidi w:val="0"/>
              <w:spacing w:before="0" w:after="283"/>
              <w:jc w:val="left"/>
              <w:rPr>
                <w:sz w:val="4"/>
                <w:szCs w:val="4"/>
              </w:rPr>
            </w:pPr>
            <w:r>
              <w:rPr>
                <w:sz w:val="4"/>
                <w:szCs w:val="4"/>
              </w:rPr>
            </w:r>
          </w:p>
        </w:tc>
      </w:tr>
      <w:tr>
        <w:trPr/>
        <w:tc>
          <w:tcPr>
            <w:tcW w:w="7151"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12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1079" w:type="dxa"/>
            <w:tcBorders/>
            <w:shd w:fill="CCEEFF" w:val="clear"/>
            <w:vAlign w:val="center"/>
          </w:tcPr>
          <w:p>
            <w:pPr>
              <w:pStyle w:val="TableContents"/>
              <w:bidi w:val="0"/>
              <w:spacing w:before="0" w:after="283"/>
              <w:jc w:val="right"/>
              <w:rPr/>
            </w:pPr>
            <w:r>
              <w:rPr/>
              <w:t>1,257,460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1099" w:type="dxa"/>
            <w:tcBorders/>
            <w:shd w:fill="CCEEFF" w:val="clear"/>
            <w:vAlign w:val="center"/>
          </w:tcPr>
          <w:p>
            <w:pPr>
              <w:pStyle w:val="TableContents"/>
              <w:bidi w:val="0"/>
              <w:spacing w:before="0" w:after="283"/>
              <w:jc w:val="right"/>
              <w:rPr/>
            </w:pPr>
            <w:r>
              <w:rPr/>
              <w:t>1,256,629</w:t>
            </w:r>
          </w:p>
        </w:tc>
        <w:tc>
          <w:tcPr>
            <w:tcW w:w="173" w:type="dxa"/>
            <w:tcBorders/>
            <w:shd w:fill="CCEEFF" w:val="clear"/>
            <w:vAlign w:val="center"/>
          </w:tcPr>
          <w:p>
            <w:pPr>
              <w:pStyle w:val="TableContents"/>
              <w:bidi w:val="0"/>
              <w:spacing w:before="0" w:after="283"/>
              <w:jc w:val="left"/>
              <w:rPr/>
            </w:pPr>
            <w:r>
              <w:rPr/>
              <w:t> </w:t>
            </w:r>
          </w:p>
        </w:tc>
      </w:tr>
      <w:tr>
        <w:trPr/>
        <w:tc>
          <w:tcPr>
            <w:tcW w:w="715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12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15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SBA debentures, net of deferred financing costs</w:t>
            </w:r>
          </w:p>
        </w:tc>
        <w:tc>
          <w:tcPr>
            <w:tcW w:w="12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1079" w:type="dxa"/>
            <w:tcBorders/>
            <w:shd w:fill="CCEEFF" w:val="clear"/>
            <w:vAlign w:val="center"/>
          </w:tcPr>
          <w:p>
            <w:pPr>
              <w:pStyle w:val="TableContents"/>
              <w:bidi w:val="0"/>
              <w:spacing w:before="0" w:after="283"/>
              <w:jc w:val="right"/>
              <w:rPr/>
            </w:pPr>
            <w:r>
              <w:rPr/>
              <w:t>195,584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1099" w:type="dxa"/>
            <w:tcBorders/>
            <w:shd w:fill="CCEEFF" w:val="clear"/>
            <w:vAlign w:val="center"/>
          </w:tcPr>
          <w:p>
            <w:pPr>
              <w:pStyle w:val="TableContents"/>
              <w:bidi w:val="0"/>
              <w:spacing w:before="0" w:after="283"/>
              <w:jc w:val="right"/>
              <w:rPr/>
            </w:pPr>
            <w:r>
              <w:rPr/>
              <w:t>195,584</w:t>
            </w:r>
          </w:p>
        </w:tc>
        <w:tc>
          <w:tcPr>
            <w:tcW w:w="173" w:type="dxa"/>
            <w:tcBorders/>
            <w:shd w:fill="CCEEFF" w:val="clear"/>
            <w:vAlign w:val="center"/>
          </w:tcPr>
          <w:p>
            <w:pPr>
              <w:pStyle w:val="TableContents"/>
              <w:bidi w:val="0"/>
              <w:spacing w:before="0" w:after="283"/>
              <w:jc w:val="left"/>
              <w:rPr/>
            </w:pPr>
            <w:r>
              <w:rPr/>
              <w:t> </w:t>
            </w:r>
          </w:p>
        </w:tc>
      </w:tr>
      <w:tr>
        <w:trPr/>
        <w:tc>
          <w:tcPr>
            <w:tcW w:w="71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January 2026 Notes, net of deferred financing costs</w:t>
            </w:r>
          </w:p>
          <w:p>
            <w:pPr>
              <w:pStyle w:val="TableContents"/>
              <w:bidi w:val="0"/>
              <w:spacing w:before="0" w:after="0"/>
              <w:jc w:val="left"/>
              <w:rPr>
                <w:rFonts w:ascii="Times New Roman" w:hAnsi="Times New Roman"/>
                <w:sz w:val="12"/>
              </w:rPr>
            </w:pPr>
            <w:r>
              <w:rPr>
                <w:rFonts w:ascii="Times New Roman" w:hAnsi="Times New Roman"/>
                <w:sz w:val="12"/>
              </w:rPr>
              <w:t>(1)</w:t>
            </w:r>
          </w:p>
        </w:tc>
        <w:tc>
          <w:tcPr>
            <w:tcW w:w="12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right"/>
              <w:rPr/>
            </w:pPr>
            <w:r>
              <w:rPr/>
              <w:t>99,736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sz w:val="4"/>
                <w:szCs w:val="4"/>
              </w:rPr>
            </w:pPr>
            <w:r>
              <w:rPr>
                <w:sz w:val="4"/>
                <w:szCs w:val="4"/>
              </w:rPr>
            </w:r>
          </w:p>
        </w:tc>
      </w:tr>
      <w:tr>
        <w:trPr/>
        <w:tc>
          <w:tcPr>
            <w:tcW w:w="715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November 2026 Notes, net of deferred financing costs</w:t>
            </w:r>
          </w:p>
        </w:tc>
        <w:tc>
          <w:tcPr>
            <w:tcW w:w="12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124,249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sz w:val="4"/>
                <w:szCs w:val="4"/>
              </w:rPr>
            </w:pPr>
            <w:r>
              <w:rPr>
                <w:sz w:val="4"/>
                <w:szCs w:val="4"/>
              </w:rPr>
            </w:r>
          </w:p>
        </w:tc>
        <w:tc>
          <w:tcPr>
            <w:tcW w:w="1099" w:type="dxa"/>
            <w:tcBorders/>
            <w:shd w:fill="CCEEFF" w:val="clear"/>
            <w:vAlign w:val="center"/>
          </w:tcPr>
          <w:p>
            <w:pPr>
              <w:pStyle w:val="TableContents"/>
              <w:bidi w:val="0"/>
              <w:spacing w:before="0" w:after="20"/>
              <w:jc w:val="right"/>
              <w:rPr>
                <w:rFonts w:ascii="Times New Roman" w:hAnsi="Times New Roman"/>
                <w:sz w:val="20"/>
              </w:rPr>
            </w:pPr>
            <w:r>
              <w:rPr>
                <w:rFonts w:ascii="Times New Roman" w:hAnsi="Times New Roman"/>
                <w:sz w:val="20"/>
              </w:rPr>
              <w:t>124,249</w:t>
            </w:r>
          </w:p>
        </w:tc>
        <w:tc>
          <w:tcPr>
            <w:tcW w:w="173" w:type="dxa"/>
            <w:tcBorders/>
            <w:shd w:fill="CCEEFF" w:val="clear"/>
            <w:vAlign w:val="center"/>
          </w:tcPr>
          <w:p>
            <w:pPr>
              <w:pStyle w:val="TableContents"/>
              <w:bidi w:val="0"/>
              <w:spacing w:before="0" w:after="283"/>
              <w:jc w:val="left"/>
              <w:rPr>
                <w:sz w:val="4"/>
                <w:szCs w:val="4"/>
              </w:rPr>
            </w:pPr>
            <w:r>
              <w:rPr>
                <w:sz w:val="4"/>
                <w:szCs w:val="4"/>
              </w:rPr>
            </w:r>
          </w:p>
        </w:tc>
      </w:tr>
      <w:tr>
        <w:trPr/>
        <w:tc>
          <w:tcPr>
            <w:tcW w:w="71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Notes offered hereby, net of deferred financing</w:t>
            </w:r>
          </w:p>
        </w:tc>
        <w:tc>
          <w:tcPr>
            <w:tcW w:w="12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right"/>
              <w:rPr/>
            </w:pPr>
            <w:r>
              <w:rPr/>
              <w:t>97,119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right"/>
              <w:rPr/>
            </w:pPr>
            <w:r>
              <w:rPr/>
              <w:t>196,024</w:t>
            </w:r>
          </w:p>
        </w:tc>
        <w:tc>
          <w:tcPr>
            <w:tcW w:w="173" w:type="dxa"/>
            <w:tcBorders/>
            <w:vAlign w:val="center"/>
          </w:tcPr>
          <w:p>
            <w:pPr>
              <w:pStyle w:val="TableContents"/>
              <w:bidi w:val="0"/>
              <w:spacing w:before="0" w:after="283"/>
              <w:jc w:val="left"/>
              <w:rPr>
                <w:sz w:val="4"/>
                <w:szCs w:val="4"/>
              </w:rPr>
            </w:pPr>
            <w:r>
              <w:rPr>
                <w:sz w:val="4"/>
                <w:szCs w:val="4"/>
              </w:rPr>
            </w:r>
          </w:p>
        </w:tc>
      </w:tr>
      <w:tr>
        <w:trPr/>
        <w:tc>
          <w:tcPr>
            <w:tcW w:w="715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Borrowings under Credit Facility, net of deferred financing costs</w:t>
            </w:r>
          </w:p>
        </w:tc>
        <w:tc>
          <w:tcPr>
            <w:tcW w:w="12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(849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sz w:val="4"/>
                <w:szCs w:val="4"/>
              </w:rPr>
            </w:pPr>
            <w:r>
              <w:rPr>
                <w:sz w:val="4"/>
                <w:szCs w:val="4"/>
              </w:rPr>
            </w:r>
          </w:p>
        </w:tc>
        <w:tc>
          <w:tcPr>
            <w:tcW w:w="1099" w:type="dxa"/>
            <w:tcBorders/>
            <w:shd w:fill="CCEEFF" w:val="clear"/>
            <w:vAlign w:val="center"/>
          </w:tcPr>
          <w:p>
            <w:pPr>
              <w:pStyle w:val="TableContents"/>
              <w:bidi w:val="0"/>
              <w:spacing w:before="0" w:after="283"/>
              <w:jc w:val="right"/>
              <w:rPr/>
            </w:pPr>
            <w:r>
              <w:rPr/>
              <w:t>(849</w:t>
            </w:r>
          </w:p>
        </w:tc>
        <w:tc>
          <w:tcPr>
            <w:tcW w:w="173" w:type="dxa"/>
            <w:tcBorders/>
            <w:shd w:fill="CCEEFF" w:val="clear"/>
            <w:vAlign w:val="center"/>
          </w:tcPr>
          <w:p>
            <w:pPr>
              <w:pStyle w:val="TableContents"/>
              <w:bidi w:val="0"/>
              <w:spacing w:before="0" w:after="283"/>
              <w:jc w:val="left"/>
              <w:rPr/>
            </w:pPr>
            <w:r>
              <w:rPr/>
              <w:t>) </w:t>
            </w:r>
          </w:p>
        </w:tc>
      </w:tr>
      <w:tr>
        <w:trPr/>
        <w:tc>
          <w:tcPr>
            <w:tcW w:w="71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Secured borrowings</w:t>
            </w:r>
          </w:p>
        </w:tc>
        <w:tc>
          <w:tcPr>
            <w:tcW w:w="12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right"/>
              <w:rPr/>
            </w:pPr>
            <w:r>
              <w:rPr/>
              <w:t>13,255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right"/>
              <w:rPr/>
            </w:pPr>
            <w:r>
              <w:rPr/>
              <w:t>13,255</w:t>
            </w:r>
          </w:p>
        </w:tc>
        <w:tc>
          <w:tcPr>
            <w:tcW w:w="173" w:type="dxa"/>
            <w:tcBorders/>
            <w:vAlign w:val="center"/>
          </w:tcPr>
          <w:p>
            <w:pPr>
              <w:pStyle w:val="TableContents"/>
              <w:bidi w:val="0"/>
              <w:spacing w:before="0" w:after="283"/>
              <w:jc w:val="left"/>
              <w:rPr>
                <w:sz w:val="4"/>
                <w:szCs w:val="4"/>
              </w:rPr>
            </w:pPr>
            <w:r>
              <w:rPr>
                <w:sz w:val="4"/>
                <w:szCs w:val="4"/>
              </w:rPr>
            </w:r>
          </w:p>
        </w:tc>
      </w:tr>
      <w:tr>
        <w:trPr/>
        <w:tc>
          <w:tcPr>
            <w:tcW w:w="715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12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36,069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sz w:val="4"/>
                <w:szCs w:val="4"/>
              </w:rPr>
            </w:pPr>
            <w:r>
              <w:rPr>
                <w:sz w:val="4"/>
                <w:szCs w:val="4"/>
              </w:rPr>
            </w:r>
          </w:p>
        </w:tc>
        <w:tc>
          <w:tcPr>
            <w:tcW w:w="1099" w:type="dxa"/>
            <w:tcBorders/>
            <w:shd w:fill="CCEEFF" w:val="clear"/>
            <w:vAlign w:val="center"/>
          </w:tcPr>
          <w:p>
            <w:pPr>
              <w:pStyle w:val="TableContents"/>
              <w:bidi w:val="0"/>
              <w:spacing w:before="0" w:after="283"/>
              <w:jc w:val="right"/>
              <w:rPr/>
            </w:pPr>
            <w:r>
              <w:rPr/>
              <w:t>36,069</w:t>
            </w:r>
          </w:p>
        </w:tc>
        <w:tc>
          <w:tcPr>
            <w:tcW w:w="173" w:type="dxa"/>
            <w:tcBorders/>
            <w:shd w:fill="CCEEFF" w:val="clear"/>
            <w:vAlign w:val="center"/>
          </w:tcPr>
          <w:p>
            <w:pPr>
              <w:pStyle w:val="TableContents"/>
              <w:bidi w:val="0"/>
              <w:spacing w:before="0" w:after="283"/>
              <w:jc w:val="left"/>
              <w:rPr>
                <w:sz w:val="4"/>
                <w:szCs w:val="4"/>
              </w:rPr>
            </w:pPr>
            <w:r>
              <w:rPr>
                <w:sz w:val="4"/>
                <w:szCs w:val="4"/>
              </w:rPr>
            </w:r>
          </w:p>
        </w:tc>
      </w:tr>
      <w:tr>
        <w:trPr/>
        <w:tc>
          <w:tcPr>
            <w:tcW w:w="715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0"/>
              <w:jc w:val="left"/>
              <w:rPr>
                <w:bdr w:val="single" w:sz="2" w:space="1" w:color="000000"/>
              </w:rPr>
            </w:pPr>
            <w:r>
              <w:rPr>
                <w:bdr w:val="single" w:sz="2" w:space="1" w:color="000000"/>
              </w:rPr>
              <w:t> </w:t>
            </w:r>
          </w:p>
        </w:tc>
        <w:tc>
          <w:tcPr>
            <w:tcW w:w="107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0"/>
              <w:jc w:val="left"/>
              <w:rPr>
                <w:bdr w:val="single" w:sz="2" w:space="1" w:color="000000"/>
              </w:rPr>
            </w:pPr>
            <w:r>
              <w:rPr>
                <w:bdr w:val="single" w:sz="2" w:space="1" w:color="000000"/>
              </w:rPr>
              <w:t> </w:t>
            </w:r>
          </w:p>
        </w:tc>
        <w:tc>
          <w:tcPr>
            <w:tcW w:w="1099"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715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12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w:t>
            </w:r>
          </w:p>
        </w:tc>
        <w:tc>
          <w:tcPr>
            <w:tcW w:w="1079" w:type="dxa"/>
            <w:tcBorders/>
            <w:vAlign w:val="center"/>
          </w:tcPr>
          <w:p>
            <w:pPr>
              <w:pStyle w:val="TableContents"/>
              <w:bidi w:val="0"/>
              <w:spacing w:before="0" w:after="283"/>
              <w:jc w:val="right"/>
              <w:rPr/>
            </w:pPr>
            <w:r>
              <w:rPr/>
              <w:t>565,163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w:t>
            </w:r>
          </w:p>
        </w:tc>
        <w:tc>
          <w:tcPr>
            <w:tcW w:w="1099" w:type="dxa"/>
            <w:tcBorders/>
            <w:vAlign w:val="center"/>
          </w:tcPr>
          <w:p>
            <w:pPr>
              <w:pStyle w:val="TableContents"/>
              <w:bidi w:val="0"/>
              <w:spacing w:before="0" w:after="283"/>
              <w:jc w:val="right"/>
              <w:rPr/>
            </w:pPr>
            <w:r>
              <w:rPr/>
              <w:t>564,332</w:t>
            </w:r>
          </w:p>
        </w:tc>
        <w:tc>
          <w:tcPr>
            <w:tcW w:w="173" w:type="dxa"/>
            <w:tcBorders/>
            <w:vAlign w:val="center"/>
          </w:tcPr>
          <w:p>
            <w:pPr>
              <w:pStyle w:val="TableContents"/>
              <w:bidi w:val="0"/>
              <w:spacing w:before="0" w:after="283"/>
              <w:jc w:val="left"/>
              <w:rPr/>
            </w:pPr>
            <w:r>
              <w:rPr/>
              <w:t> </w:t>
            </w:r>
          </w:p>
        </w:tc>
      </w:tr>
      <w:tr>
        <w:trPr/>
        <w:tc>
          <w:tcPr>
            <w:tcW w:w="715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0"/>
              <w:jc w:val="left"/>
              <w:rPr>
                <w:bdr w:val="single" w:sz="2" w:space="1" w:color="000000"/>
              </w:rPr>
            </w:pPr>
            <w:r>
              <w:rPr>
                <w:bdr w:val="single" w:sz="2" w:space="1" w:color="000000"/>
              </w:rPr>
              <w:t> </w:t>
            </w:r>
          </w:p>
        </w:tc>
        <w:tc>
          <w:tcPr>
            <w:tcW w:w="107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0"/>
              <w:jc w:val="left"/>
              <w:rPr>
                <w:bdr w:val="single" w:sz="2" w:space="1" w:color="000000"/>
              </w:rPr>
            </w:pPr>
            <w:r>
              <w:rPr>
                <w:bdr w:val="single" w:sz="2" w:space="1" w:color="000000"/>
              </w:rPr>
              <w:t> </w:t>
            </w:r>
          </w:p>
        </w:tc>
        <w:tc>
          <w:tcPr>
            <w:tcW w:w="1099"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7151"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NET ASSETS</w:t>
            </w:r>
          </w:p>
        </w:tc>
        <w:tc>
          <w:tcPr>
            <w:tcW w:w="12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sz w:val="4"/>
                <w:szCs w:val="4"/>
              </w:rPr>
            </w:pPr>
            <w:r>
              <w:rPr>
                <w:sz w:val="4"/>
                <w:szCs w:val="4"/>
              </w:rPr>
            </w:r>
          </w:p>
        </w:tc>
        <w:tc>
          <w:tcPr>
            <w:tcW w:w="107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sz w:val="4"/>
                <w:szCs w:val="4"/>
              </w:rPr>
            </w:pPr>
            <w:r>
              <w:rPr>
                <w:sz w:val="4"/>
                <w:szCs w:val="4"/>
              </w:rPr>
            </w:r>
          </w:p>
        </w:tc>
        <w:tc>
          <w:tcPr>
            <w:tcW w:w="1099" w:type="dxa"/>
            <w:tcBorders/>
            <w:shd w:fill="CCEEFF" w:val="clear"/>
            <w:vAlign w:val="center"/>
          </w:tcPr>
          <w:p>
            <w:pPr>
              <w:pStyle w:val="TableContents"/>
              <w:bidi w:val="0"/>
              <w:spacing w:before="0" w:after="283"/>
              <w:jc w:val="left"/>
              <w:rPr>
                <w:sz w:val="4"/>
                <w:szCs w:val="4"/>
              </w:rPr>
            </w:pPr>
            <w:r>
              <w:rPr>
                <w:sz w:val="4"/>
                <w:szCs w:val="4"/>
              </w:rPr>
            </w:r>
          </w:p>
        </w:tc>
        <w:tc>
          <w:tcPr>
            <w:tcW w:w="173" w:type="dxa"/>
            <w:tcBorders/>
            <w:shd w:fill="CCEEFF" w:val="clear"/>
            <w:vAlign w:val="center"/>
          </w:tcPr>
          <w:p>
            <w:pPr>
              <w:pStyle w:val="TableContents"/>
              <w:bidi w:val="0"/>
              <w:spacing w:before="0" w:after="283"/>
              <w:jc w:val="left"/>
              <w:rPr>
                <w:sz w:val="4"/>
                <w:szCs w:val="4"/>
              </w:rPr>
            </w:pPr>
            <w:r>
              <w:rPr>
                <w:sz w:val="4"/>
                <w:szCs w:val="4"/>
              </w:rPr>
            </w:r>
          </w:p>
        </w:tc>
      </w:tr>
      <w:tr>
        <w:trPr/>
        <w:tc>
          <w:tcPr>
            <w:tcW w:w="71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Common stock, $0.001 par value (100,000,000 shares authorized, 35,379,900 shares issued and outstanding)</w:t>
            </w:r>
          </w:p>
        </w:tc>
        <w:tc>
          <w:tcPr>
            <w:tcW w:w="12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w:t>
            </w:r>
          </w:p>
        </w:tc>
        <w:tc>
          <w:tcPr>
            <w:tcW w:w="1079" w:type="dxa"/>
            <w:tcBorders/>
            <w:vAlign w:val="center"/>
          </w:tcPr>
          <w:p>
            <w:pPr>
              <w:pStyle w:val="TableContents"/>
              <w:bidi w:val="0"/>
              <w:spacing w:before="0" w:after="283"/>
              <w:jc w:val="right"/>
              <w:rPr/>
            </w:pPr>
            <w:r>
              <w:rPr/>
              <w:t>35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w:t>
            </w:r>
          </w:p>
        </w:tc>
        <w:tc>
          <w:tcPr>
            <w:tcW w:w="1099" w:type="dxa"/>
            <w:tcBorders/>
            <w:vAlign w:val="center"/>
          </w:tcPr>
          <w:p>
            <w:pPr>
              <w:pStyle w:val="TableContents"/>
              <w:bidi w:val="0"/>
              <w:spacing w:before="0" w:after="283"/>
              <w:jc w:val="right"/>
              <w:rPr/>
            </w:pPr>
            <w:r>
              <w:rPr/>
              <w:t>35</w:t>
            </w:r>
          </w:p>
        </w:tc>
        <w:tc>
          <w:tcPr>
            <w:tcW w:w="173" w:type="dxa"/>
            <w:tcBorders/>
            <w:vAlign w:val="center"/>
          </w:tcPr>
          <w:p>
            <w:pPr>
              <w:pStyle w:val="TableContents"/>
              <w:bidi w:val="0"/>
              <w:spacing w:before="0" w:after="283"/>
              <w:jc w:val="left"/>
              <w:rPr/>
            </w:pPr>
            <w:r>
              <w:rPr/>
              <w:t> </w:t>
            </w:r>
          </w:p>
        </w:tc>
      </w:tr>
      <w:tr>
        <w:trPr/>
        <w:tc>
          <w:tcPr>
            <w:tcW w:w="715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Additional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paid-in</w:t>
            </w:r>
          </w:p>
          <w:p>
            <w:pPr>
              <w:pStyle w:val="TableContents"/>
              <w:bidi w:val="0"/>
              <w:spacing w:before="0" w:after="0"/>
              <w:jc w:val="left"/>
              <w:rPr>
                <w:rFonts w:ascii="Times New Roman" w:hAnsi="Times New Roman"/>
                <w:sz w:val="20"/>
              </w:rPr>
            </w:pPr>
            <w:r>
              <w:rPr>
                <w:rFonts w:ascii="Times New Roman" w:hAnsi="Times New Roman"/>
                <w:sz w:val="20"/>
              </w:rPr>
              <w:t>capital</w:t>
            </w:r>
          </w:p>
        </w:tc>
        <w:tc>
          <w:tcPr>
            <w:tcW w:w="12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596,690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sz w:val="4"/>
                <w:szCs w:val="4"/>
              </w:rPr>
            </w:pPr>
            <w:r>
              <w:rPr>
                <w:sz w:val="4"/>
                <w:szCs w:val="4"/>
              </w:rPr>
            </w:r>
          </w:p>
        </w:tc>
        <w:tc>
          <w:tcPr>
            <w:tcW w:w="1099" w:type="dxa"/>
            <w:tcBorders/>
            <w:shd w:fill="CCEEFF" w:val="clear"/>
            <w:vAlign w:val="center"/>
          </w:tcPr>
          <w:p>
            <w:pPr>
              <w:pStyle w:val="TableContents"/>
              <w:bidi w:val="0"/>
              <w:spacing w:before="0" w:after="283"/>
              <w:jc w:val="right"/>
              <w:rPr/>
            </w:pPr>
            <w:r>
              <w:rPr/>
              <w:t>596,690</w:t>
            </w:r>
          </w:p>
        </w:tc>
        <w:tc>
          <w:tcPr>
            <w:tcW w:w="173" w:type="dxa"/>
            <w:tcBorders/>
            <w:shd w:fill="CCEEFF" w:val="clear"/>
            <w:vAlign w:val="center"/>
          </w:tcPr>
          <w:p>
            <w:pPr>
              <w:pStyle w:val="TableContents"/>
              <w:bidi w:val="0"/>
              <w:spacing w:before="0" w:after="283"/>
              <w:jc w:val="left"/>
              <w:rPr>
                <w:sz w:val="4"/>
                <w:szCs w:val="4"/>
              </w:rPr>
            </w:pPr>
            <w:r>
              <w:rPr>
                <w:sz w:val="4"/>
                <w:szCs w:val="4"/>
              </w:rPr>
            </w:r>
          </w:p>
        </w:tc>
      </w:tr>
      <w:tr>
        <w:trPr/>
        <w:tc>
          <w:tcPr>
            <w:tcW w:w="71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distributable earnings</w:t>
            </w:r>
          </w:p>
        </w:tc>
        <w:tc>
          <w:tcPr>
            <w:tcW w:w="12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right"/>
              <w:rPr/>
            </w:pPr>
            <w:r>
              <w:rPr/>
              <w:t>95,572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right"/>
              <w:rPr/>
            </w:pPr>
            <w:r>
              <w:rPr/>
              <w:t>95,572</w:t>
            </w:r>
          </w:p>
        </w:tc>
        <w:tc>
          <w:tcPr>
            <w:tcW w:w="173" w:type="dxa"/>
            <w:tcBorders/>
            <w:vAlign w:val="center"/>
          </w:tcPr>
          <w:p>
            <w:pPr>
              <w:pStyle w:val="TableContents"/>
              <w:bidi w:val="0"/>
              <w:spacing w:before="0" w:after="283"/>
              <w:jc w:val="left"/>
              <w:rPr>
                <w:sz w:val="4"/>
                <w:szCs w:val="4"/>
              </w:rPr>
            </w:pPr>
            <w:r>
              <w:rPr>
                <w:sz w:val="4"/>
                <w:szCs w:val="4"/>
              </w:rPr>
            </w:r>
          </w:p>
        </w:tc>
      </w:tr>
      <w:tr>
        <w:trPr/>
        <w:tc>
          <w:tcPr>
            <w:tcW w:w="715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0"/>
              <w:jc w:val="left"/>
              <w:rPr>
                <w:bdr w:val="single" w:sz="2" w:space="1" w:color="000000"/>
              </w:rPr>
            </w:pPr>
            <w:r>
              <w:rPr>
                <w:bdr w:val="single" w:sz="2" w:space="1" w:color="000000"/>
              </w:rPr>
              <w:t> </w:t>
            </w:r>
          </w:p>
        </w:tc>
        <w:tc>
          <w:tcPr>
            <w:tcW w:w="107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0"/>
              <w:jc w:val="left"/>
              <w:rPr>
                <w:bdr w:val="single" w:sz="2" w:space="1" w:color="000000"/>
              </w:rPr>
            </w:pPr>
            <w:r>
              <w:rPr>
                <w:bdr w:val="single" w:sz="2" w:space="1" w:color="000000"/>
              </w:rPr>
              <w:t> </w:t>
            </w:r>
          </w:p>
        </w:tc>
        <w:tc>
          <w:tcPr>
            <w:tcW w:w="1099"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7151"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net assets</w:t>
            </w:r>
          </w:p>
        </w:tc>
        <w:tc>
          <w:tcPr>
            <w:tcW w:w="12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692,297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sz w:val="4"/>
                <w:szCs w:val="4"/>
              </w:rPr>
            </w:pPr>
            <w:r>
              <w:rPr>
                <w:sz w:val="4"/>
                <w:szCs w:val="4"/>
              </w:rPr>
            </w:r>
          </w:p>
        </w:tc>
        <w:tc>
          <w:tcPr>
            <w:tcW w:w="1099" w:type="dxa"/>
            <w:tcBorders/>
            <w:shd w:fill="CCEEFF" w:val="clear"/>
            <w:vAlign w:val="center"/>
          </w:tcPr>
          <w:p>
            <w:pPr>
              <w:pStyle w:val="TableContents"/>
              <w:bidi w:val="0"/>
              <w:spacing w:before="0" w:after="283"/>
              <w:jc w:val="right"/>
              <w:rPr/>
            </w:pPr>
            <w:r>
              <w:rPr/>
              <w:t>692,297</w:t>
            </w:r>
          </w:p>
        </w:tc>
        <w:tc>
          <w:tcPr>
            <w:tcW w:w="173" w:type="dxa"/>
            <w:tcBorders/>
            <w:shd w:fill="CCEEFF" w:val="clear"/>
            <w:vAlign w:val="center"/>
          </w:tcPr>
          <w:p>
            <w:pPr>
              <w:pStyle w:val="TableContents"/>
              <w:bidi w:val="0"/>
              <w:spacing w:before="0" w:after="283"/>
              <w:jc w:val="left"/>
              <w:rPr>
                <w:sz w:val="4"/>
                <w:szCs w:val="4"/>
              </w:rPr>
            </w:pPr>
            <w:r>
              <w:rPr>
                <w:sz w:val="4"/>
                <w:szCs w:val="4"/>
              </w:rPr>
            </w:r>
          </w:p>
        </w:tc>
      </w:tr>
      <w:tr>
        <w:trPr/>
        <w:tc>
          <w:tcPr>
            <w:tcW w:w="715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0"/>
              <w:jc w:val="left"/>
              <w:rPr>
                <w:bdr w:val="single" w:sz="2" w:space="1" w:color="000000"/>
              </w:rPr>
            </w:pPr>
            <w:r>
              <w:rPr>
                <w:bdr w:val="single" w:sz="2" w:space="1" w:color="000000"/>
              </w:rPr>
              <w:t> </w:t>
            </w:r>
          </w:p>
        </w:tc>
        <w:tc>
          <w:tcPr>
            <w:tcW w:w="107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0"/>
              <w:jc w:val="left"/>
              <w:rPr>
                <w:bdr w:val="single" w:sz="2" w:space="1" w:color="000000"/>
              </w:rPr>
            </w:pPr>
            <w:r>
              <w:rPr>
                <w:bdr w:val="single" w:sz="2" w:space="1" w:color="000000"/>
              </w:rPr>
              <w:t> </w:t>
            </w:r>
          </w:p>
        </w:tc>
        <w:tc>
          <w:tcPr>
            <w:tcW w:w="1099"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715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liabilities and net assets</w:t>
            </w:r>
          </w:p>
        </w:tc>
        <w:tc>
          <w:tcPr>
            <w:tcW w:w="12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w:t>
            </w:r>
          </w:p>
        </w:tc>
        <w:tc>
          <w:tcPr>
            <w:tcW w:w="1079" w:type="dxa"/>
            <w:tcBorders/>
            <w:vAlign w:val="center"/>
          </w:tcPr>
          <w:p>
            <w:pPr>
              <w:pStyle w:val="TableContents"/>
              <w:bidi w:val="0"/>
              <w:spacing w:before="0" w:after="283"/>
              <w:jc w:val="right"/>
              <w:rPr/>
            </w:pPr>
            <w:r>
              <w:rPr/>
              <w:t>1,257,460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w:t>
            </w:r>
          </w:p>
        </w:tc>
        <w:tc>
          <w:tcPr>
            <w:tcW w:w="1099" w:type="dxa"/>
            <w:tcBorders/>
            <w:vAlign w:val="center"/>
          </w:tcPr>
          <w:p>
            <w:pPr>
              <w:pStyle w:val="TableContents"/>
              <w:bidi w:val="0"/>
              <w:spacing w:before="0" w:after="283"/>
              <w:jc w:val="right"/>
              <w:rPr/>
            </w:pPr>
            <w:r>
              <w:rPr/>
              <w:t>1,256,629</w:t>
            </w:r>
          </w:p>
        </w:tc>
        <w:tc>
          <w:tcPr>
            <w:tcW w:w="173" w:type="dxa"/>
            <w:tcBorders/>
            <w:vAlign w:val="center"/>
          </w:tcPr>
          <w:p>
            <w:pPr>
              <w:pStyle w:val="TableContents"/>
              <w:bidi w:val="0"/>
              <w:spacing w:before="0" w:after="283"/>
              <w:jc w:val="left"/>
              <w:rPr/>
            </w:pPr>
            <w:r>
              <w:rPr/>
              <w:t> </w:t>
            </w:r>
          </w:p>
        </w:tc>
      </w:tr>
      <w:tr>
        <w:trPr/>
        <w:tc>
          <w:tcPr>
            <w:tcW w:w="715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0"/>
              <w:jc w:val="left"/>
              <w:rPr>
                <w:bdr w:val="double" w:sz="6" w:space="1" w:color="000000"/>
              </w:rPr>
            </w:pPr>
            <w:r>
              <w:rPr>
                <w:bdr w:val="double" w:sz="6" w:space="1" w:color="000000"/>
              </w:rPr>
              <w:t> </w:t>
            </w:r>
          </w:p>
        </w:tc>
        <w:tc>
          <w:tcPr>
            <w:tcW w:w="107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0"/>
              <w:jc w:val="left"/>
              <w:rPr>
                <w:bdr w:val="double" w:sz="6" w:space="1" w:color="000000"/>
              </w:rPr>
            </w:pPr>
            <w:r>
              <w:rPr>
                <w:bdr w:val="double" w:sz="6" w:space="1" w:color="000000"/>
              </w:rPr>
              <w:t> </w:t>
            </w:r>
          </w:p>
        </w:tc>
        <w:tc>
          <w:tcPr>
            <w:tcW w:w="1099" w:type="dxa"/>
            <w:tcBorders/>
            <w:vAlign w:val="center"/>
          </w:tcPr>
          <w:p>
            <w:pPr>
              <w:pStyle w:val="TableContents"/>
              <w:bidi w:val="0"/>
              <w:spacing w:before="0" w:after="0"/>
              <w:jc w:val="left"/>
              <w:rPr>
                <w:bdr w:val="double" w:sz="6" w:space="1" w:color="000000"/>
              </w:rPr>
            </w:pPr>
            <w:r>
              <w:rPr>
                <w:bdr w:val="double" w:sz="6" w:space="1" w:color="000000"/>
              </w:rPr>
              <w:t> </w:t>
            </w:r>
          </w:p>
        </w:tc>
        <w:tc>
          <w:tcPr>
            <w:tcW w:w="173" w:type="dxa"/>
            <w:tcBorders/>
            <w:vAlign w:val="center"/>
          </w:tcPr>
          <w:p>
            <w:pPr>
              <w:pStyle w:val="TableContents"/>
              <w:bidi w:val="0"/>
              <w:spacing w:before="0" w:after="283"/>
              <w:jc w:val="left"/>
              <w:rPr/>
            </w:pPr>
            <w:r>
              <w:rPr/>
              <w:t> </w:t>
            </w:r>
          </w:p>
        </w:tc>
      </w:tr>
      <w:tr>
        <w:trPr/>
        <w:tc>
          <w:tcPr>
            <w:tcW w:w="7151"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Net asset value per common share</w:t>
            </w:r>
          </w:p>
        </w:tc>
        <w:tc>
          <w:tcPr>
            <w:tcW w:w="12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1079" w:type="dxa"/>
            <w:tcBorders/>
            <w:shd w:fill="CCEEFF" w:val="clear"/>
            <w:vAlign w:val="center"/>
          </w:tcPr>
          <w:p>
            <w:pPr>
              <w:pStyle w:val="TableContents"/>
              <w:bidi w:val="0"/>
              <w:spacing w:before="0" w:after="283"/>
              <w:jc w:val="right"/>
              <w:rPr/>
            </w:pPr>
            <w:r>
              <w:rPr/>
              <w:t>19.57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1099" w:type="dxa"/>
            <w:tcBorders/>
            <w:shd w:fill="CCEEFF" w:val="clear"/>
            <w:vAlign w:val="center"/>
          </w:tcPr>
          <w:p>
            <w:pPr>
              <w:pStyle w:val="TableContents"/>
              <w:bidi w:val="0"/>
              <w:spacing w:before="0" w:after="283"/>
              <w:jc w:val="right"/>
              <w:rPr/>
            </w:pPr>
            <w:r>
              <w:rPr/>
              <w:t>19.57</w:t>
            </w:r>
          </w:p>
        </w:tc>
        <w:tc>
          <w:tcPr>
            <w:tcW w:w="173"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9265" w:type="dxa"/>
        <w:jc w:val="left"/>
        <w:tblInd w:w="0" w:type="dxa"/>
        <w:tblLayout w:type="fixed"/>
        <w:tblCellMar>
          <w:top w:w="0" w:type="dxa"/>
          <w:left w:w="0" w:type="dxa"/>
          <w:bottom w:w="0" w:type="dxa"/>
          <w:right w:w="0" w:type="dxa"/>
        </w:tblCellMar>
      </w:tblPr>
      <w:tblGrid>
        <w:gridCol w:w="185"/>
        <w:gridCol w:w="9080"/>
      </w:tblGrid>
      <w:tr>
        <w:trPr/>
        <w:tc>
          <w:tcPr>
            <w:tcW w:w="185" w:type="dxa"/>
            <w:tcBorders/>
            <w:vAlign w:val="center"/>
          </w:tcPr>
          <w:p>
            <w:pPr>
              <w:pStyle w:val="TableContents"/>
              <w:bidi w:val="0"/>
              <w:spacing w:before="0" w:after="0"/>
              <w:jc w:val="left"/>
              <w:rPr>
                <w:sz w:val="12"/>
              </w:rPr>
            </w:pPr>
            <w:r>
              <w:rPr>
                <w:sz w:val="12"/>
              </w:rPr>
              <w:t>(1)</w:t>
            </w:r>
          </w:p>
          <w:p>
            <w:pPr>
              <w:pStyle w:val="TableContents"/>
              <w:bidi w:val="0"/>
              <w:spacing w:before="0" w:after="0"/>
              <w:jc w:val="left"/>
              <w:rPr/>
            </w:pPr>
            <w:r>
              <w:rPr/>
              <w:t> </w:t>
            </w:r>
          </w:p>
        </w:tc>
        <w:tc>
          <w:tcPr>
            <w:tcW w:w="9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 intend to use the net proceeds from this offering to redeem in full the outstanding January 2026 Notes. See “</w:t>
            </w:r>
          </w:p>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Use of Proceeds</w:t>
            </w:r>
          </w:p>
          <w:p>
            <w:pPr>
              <w:pStyle w:val="TableContents"/>
              <w:bidi w:val="0"/>
              <w:spacing w:before="0" w:after="0"/>
              <w:jc w:val="left"/>
              <w:rPr/>
            </w:pPr>
            <w:r>
              <w:rPr/>
              <w:t xml:space="preserve">” </w:t>
            </w:r>
            <w:r>
              <w:rPr>
                <w:rFonts w:ascii="Times New Roman" w:hAnsi="Times New Roman"/>
                <w:sz w:val="20"/>
              </w:rPr>
              <w:t xml:space="preserve">in this prospectus supplement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DESCRIPTION OF THE NOTES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Notes will be issued under a base indenture, dated as of February 2, 2018, and a sixth supplemental indenture, dated as of March 19, 2025, by and between us and the trustee. We refer to the indenture and the sixth supplemental indenture collectively as the “indenture”. The Notes offered hereby will be treated as a single series with the Existing Notes under the indenture and will have the same terms as the Existing Notes (except the issue date, the offering price and the initial interest payment date). The Notes offered hereby will have the same CUSIP number and will be fungible and rank equally with the Existing Notes. Upon the issuance of the Notes offered hereby, the outstanding aggregate principal amount of our 6.750% Notes due 2030 will be $200,000,000. We refer to the “Notes” and the “Existing Notes” separately within this prospectus supplement because only the Notes are being offered hereby, but any general discussion of the terms of the Notes also would apply to the Existing Notes because they are treated as the same under the indenture. </w:t>
      </w:r>
    </w:p>
    <w:p>
      <w:pPr>
        <w:pStyle w:val="TextBody"/>
        <w:bidi w:val="0"/>
        <w:spacing w:before="240" w:after="0"/>
        <w:jc w:val="left"/>
        <w:rPr>
          <w:rFonts w:ascii="Times New Roman" w:hAnsi="Times New Roman"/>
          <w:spacing w:val="0"/>
          <w:sz w:val="20"/>
        </w:rPr>
      </w:pPr>
      <w:r>
        <w:rPr>
          <w:rFonts w:ascii="Times New Roman" w:hAnsi="Times New Roman"/>
          <w:spacing w:val="0"/>
          <w:sz w:val="20"/>
        </w:rPr>
        <w:t>The Notes are governed by the indenture, as required by federal law for all bonds and notes of companies that are publicly offered. An indenture is a contract between us and the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Events of Default — Remedies if an Event of Default Occurs</w:t>
      </w:r>
    </w:p>
    <w:p>
      <w:pPr>
        <w:pStyle w:val="TextBody"/>
        <w:bidi w:val="0"/>
        <w:spacing w:before="240" w:after="0"/>
        <w:jc w:val="left"/>
        <w:rPr>
          <w:spacing w:val="0"/>
        </w:rPr>
      </w:pPr>
      <w:r>
        <w:rPr>
          <w:spacing w:val="0"/>
        </w:rPr>
        <w:t xml:space="preserve">” </w:t>
      </w:r>
      <w:r>
        <w:rPr>
          <w:rFonts w:ascii="Times New Roman" w:hAnsi="Times New Roman"/>
          <w:spacing w:val="0"/>
          <w:sz w:val="20"/>
        </w:rPr>
        <w:t xml:space="preserve">below. Second, the trustee performs certain administrative duties for us with respect to the Notes.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This section includes a summary description of the material terms of the Notes and the indenture. Because this section is a summary, however, it does not describe every aspect of the Notes and the indenture. We urge you to read the indenture because it, and not this description, defines your rights as a holder of the Notes. The base indenture has been attached as an exhibit to the registration statement of which this prospectus supplement is a part and the sixth supplemental indenture has been attached as an exhibit to a Current Report on Form 8-K, which is incorporated by reference into this prospectus supplement, in each case, as filed with the SEC. See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Available Information</w:t>
      </w:r>
    </w:p>
    <w:p>
      <w:pPr>
        <w:pStyle w:val="TextBody"/>
        <w:bidi w:val="0"/>
        <w:spacing w:before="240" w:after="0"/>
        <w:jc w:val="left"/>
        <w:rPr>
          <w:spacing w:val="0"/>
        </w:rPr>
      </w:pPr>
      <w:r>
        <w:rPr>
          <w:spacing w:val="0"/>
        </w:rPr>
        <w:t xml:space="preserve">” </w:t>
      </w:r>
      <w:r>
        <w:rPr>
          <w:rFonts w:ascii="Times New Roman" w:hAnsi="Times New Roman"/>
          <w:spacing w:val="0"/>
          <w:sz w:val="20"/>
        </w:rPr>
        <w:t xml:space="preserve">in the accompanying prospectus for information on how to obtain a copy of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mature on March 19, 2030. The principal payable at maturity will be 100% of the aggregate principal amount. The interest rate of the Notes is 6.750% per year and will be paid semi-annually in arrears on March 19 and September 19 of each year, and the regular record dates for interest payments will be every March 4 and September 4. Interest on the Notes offered hereby will accrue from September 19, 2025 up to, but not including, the date of delivery, which will be paid by the purchasers of the Notes offered hereby (the “Aggregate Accrued Interest”). On March 19, 2026, we will pay the Aggregate Accrued Interest to the holders of the Notes offered hereby as of the applicable record date along with the interest accrued on the Notes offered hereby from the date of delivery to such interest payment date. </w:t>
      </w:r>
    </w:p>
    <w:p>
      <w:pPr>
        <w:pStyle w:val="TextBody"/>
        <w:bidi w:val="0"/>
        <w:spacing w:before="240" w:after="0"/>
        <w:jc w:val="left"/>
        <w:rPr>
          <w:rFonts w:ascii="Times New Roman" w:hAnsi="Times New Roman"/>
          <w:sz w:val="20"/>
        </w:rPr>
      </w:pPr>
      <w:r>
        <w:rPr>
          <w:rFonts w:ascii="Times New Roman" w:hAnsi="Times New Roman"/>
          <w:sz w:val="20"/>
        </w:rPr>
        <w:t xml:space="preserve">If an interest payment date falls on a non-business day, the applicable interest payment will be made on the next business day and no additional interest will accrue as a result of such delayed payment. </w:t>
      </w:r>
    </w:p>
    <w:p>
      <w:pPr>
        <w:pStyle w:val="TextBody"/>
        <w:bidi w:val="0"/>
        <w:spacing w:before="240" w:after="0"/>
        <w:jc w:val="left"/>
        <w:rPr>
          <w:rFonts w:ascii="Times New Roman" w:hAnsi="Times New Roman"/>
          <w:sz w:val="20"/>
        </w:rPr>
      </w:pPr>
      <w:r>
        <w:rPr>
          <w:rFonts w:ascii="Times New Roman" w:hAnsi="Times New Roman"/>
          <w:sz w:val="20"/>
        </w:rPr>
        <w:t xml:space="preserve">We will issue the Notes in minimum denominations of $2,000 and integral multiples of $1,000 in excess thereof. The Notes will not be subject to any sinking fund. </w:t>
      </w:r>
    </w:p>
    <w:p>
      <w:pPr>
        <w:pStyle w:val="TextBody"/>
        <w:bidi w:val="0"/>
        <w:spacing w:before="240" w:after="0"/>
        <w:jc w:val="left"/>
        <w:rPr>
          <w:rFonts w:ascii="Times New Roman" w:hAnsi="Times New Roman"/>
          <w:sz w:val="20"/>
        </w:rPr>
      </w:pPr>
      <w:r>
        <w:rPr>
          <w:rFonts w:ascii="Times New Roman" w:hAnsi="Times New Roman"/>
          <w:sz w:val="20"/>
        </w:rPr>
        <w:t>The indenture does not limit the amount of debt (including secured debt) that may be issued by us or our subsidiaries under the indenture or otherwise, but does contain a covenant regarding our asset coverage that would have to be satisfied at the time of our incurrence of additional indebtedness. See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Other Covenants</w:t>
      </w:r>
    </w:p>
    <w:p>
      <w:pPr>
        <w:pStyle w:val="TextBody"/>
        <w:bidi w:val="0"/>
        <w:spacing w:before="240" w:after="0"/>
        <w:jc w:val="left"/>
        <w:rPr/>
      </w:pPr>
      <w:r>
        <w:rPr/>
        <w:t xml:space="preserve">” </w:t>
      </w:r>
      <w:r>
        <w:rPr>
          <w:rFonts w:ascii="Times New Roman" w:hAnsi="Times New Roman"/>
          <w:sz w:val="20"/>
        </w:rPr>
        <w:t>and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Events of Default</w:t>
      </w:r>
    </w:p>
    <w:p>
      <w:pPr>
        <w:pStyle w:val="TextBody"/>
        <w:bidi w:val="0"/>
        <w:spacing w:before="240" w:after="0"/>
        <w:jc w:val="left"/>
        <w:rPr/>
      </w:pPr>
      <w:r>
        <w:rPr/>
        <w:t xml:space="preserve">” </w:t>
      </w:r>
      <w:r>
        <w:rPr>
          <w:rFonts w:ascii="Times New Roman" w:hAnsi="Times New Roman"/>
          <w:sz w:val="20"/>
        </w:rPr>
        <w:t>below. The indenture does not otherwise contain any financial covenants or restrict us from paying dividends or issuing or repurchasing our other securities other than as described in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Other</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Covenants</w:t>
      </w:r>
    </w:p>
    <w:p>
      <w:pPr>
        <w:pStyle w:val="TextBody"/>
        <w:bidi w:val="0"/>
        <w:spacing w:before="0" w:after="0"/>
        <w:jc w:val="left"/>
        <w:rPr>
          <w:spacing w:val="0"/>
        </w:rPr>
      </w:pPr>
      <w:r>
        <w:rPr>
          <w:spacing w:val="0"/>
        </w:rPr>
        <w:t xml:space="preserve">” </w:t>
      </w:r>
      <w:r>
        <w:rPr>
          <w:rFonts w:ascii="Times New Roman" w:hAnsi="Times New Roman"/>
          <w:spacing w:val="0"/>
          <w:sz w:val="20"/>
        </w:rPr>
        <w:t>below. Other than restrictions described under “—</w:t>
      </w:r>
    </w:p>
    <w:p>
      <w:pPr>
        <w:pStyle w:val="TextBody"/>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Offer to Repurchase Upon a Change of Control Repurchase Event</w:t>
      </w:r>
    </w:p>
    <w:p>
      <w:pPr>
        <w:pStyle w:val="TextBody"/>
        <w:bidi w:val="0"/>
        <w:spacing w:before="0" w:after="0"/>
        <w:jc w:val="left"/>
        <w:rPr>
          <w:spacing w:val="0"/>
        </w:rPr>
      </w:pPr>
      <w:r>
        <w:rPr>
          <w:spacing w:val="0"/>
        </w:rPr>
        <w:t xml:space="preserve">” </w:t>
      </w:r>
      <w:r>
        <w:rPr>
          <w:rFonts w:ascii="Times New Roman" w:hAnsi="Times New Roman"/>
          <w:spacing w:val="0"/>
          <w:sz w:val="20"/>
        </w:rPr>
        <w:t>and “—</w:t>
      </w:r>
    </w:p>
    <w:p>
      <w:pPr>
        <w:pStyle w:val="TextBody"/>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Merger, Consolidation or Asset Sale</w:t>
      </w:r>
    </w:p>
    <w:p>
      <w:pPr>
        <w:pStyle w:val="TextBody"/>
        <w:bidi w:val="0"/>
        <w:spacing w:before="0" w:after="0"/>
        <w:jc w:val="left"/>
        <w:rPr>
          <w:spacing w:val="0"/>
        </w:rPr>
      </w:pPr>
      <w:r>
        <w:rPr>
          <w:spacing w:val="0"/>
        </w:rPr>
        <w:t xml:space="preserve">” </w:t>
      </w:r>
      <w:r>
        <w:rPr>
          <w:rFonts w:ascii="Times New Roman" w:hAnsi="Times New Roman"/>
          <w:spacing w:val="0"/>
          <w:sz w:val="20"/>
        </w:rPr>
        <w:t xml:space="preserve">below, the indenture does not contain any covenants or other provisions designed to afford holders of the Notes protection in the event of a highly leveraged transaction involving us or if our credit rating declines as the result of a takeover, recapitalization, highly leveraged transaction or similar restructuring involving us that could adversely affect your investment in the Notes.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We may, without the consent of the holders of the Notes, issue additional notes under the indenture with the same terms (except for the issue date, public offering price, and if applicable, the initial interest payment date) and with the same CUSIP numbers as the Notes offered hereby in an unlimited aggregate principal amount; provided that such additional notes must be treated as part of the same issue as the Notes offered hereby for U.S. federal income tax purposes. In addition, we have the ability to issue indenture securities with terms different from the Notes. The $100.0 million in aggregate principal amount of Notes offered hereby will be issued as additional Notes under the indenture.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We do not intend to apply for listing of the Notes on any securities exchange or automated dealer quotation system. </w:t>
      </w:r>
    </w:p>
    <w:p>
      <w:pPr>
        <w:pStyle w:val="TextBody"/>
        <w:bidi w:val="0"/>
        <w:spacing w:before="360" w:after="0"/>
        <w:jc w:val="left"/>
        <w:rPr>
          <w:rFonts w:ascii="Times New Roman" w:hAnsi="Times New Roman"/>
          <w:b/>
          <w:sz w:val="20"/>
        </w:rPr>
      </w:pPr>
      <w:r>
        <w:rPr>
          <w:rFonts w:ascii="Times New Roman" w:hAnsi="Times New Roman"/>
          <w:b/>
          <w:sz w:val="20"/>
        </w:rPr>
        <w:t xml:space="preserve">Optional Redemption </w:t>
      </w:r>
    </w:p>
    <w:p>
      <w:pPr>
        <w:pStyle w:val="TextBody"/>
        <w:bidi w:val="0"/>
        <w:spacing w:before="120" w:after="0"/>
        <w:jc w:val="left"/>
        <w:rPr>
          <w:rFonts w:ascii="Times New Roman" w:hAnsi="Times New Roman"/>
          <w:sz w:val="20"/>
        </w:rPr>
      </w:pPr>
      <w:r>
        <w:rPr>
          <w:rFonts w:ascii="Times New Roman" w:hAnsi="Times New Roman"/>
          <w:sz w:val="20"/>
        </w:rPr>
        <w:t xml:space="preserve">Prior to the Par Call Date, we may redeem the Notes at our option, in whole or in part, at any time and from time to time, at a redemption price (expressed as a percentage of the principal amount and rounded to three decimal places) equal to the greater of: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(1) (a)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50 basis points less (b) interest accrued to the date of redemption,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(2) 100% of the principal amount of the Notes to be redeemed, plus, in either case, accrued and unpaid interest thereon to, but not including, the redemption date.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 or after the Par Call Date, we may redeem the Notes, in whole or in part, at any time and from time to time, at a redemption price equal to 100% of the principal amount of the Notes being redeemed plus accrued and unpaid interest thereon to, but not including,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calculating the redemption price in connection with the redemption of the Notes, on any redemption date, the following terms have the meanings set forth below: </w:t>
      </w:r>
    </w:p>
    <w:p>
      <w:pPr>
        <w:pStyle w:val="TextBody"/>
        <w:bidi w:val="0"/>
        <w:spacing w:before="240" w:after="0"/>
        <w:jc w:val="left"/>
        <w:rPr/>
      </w:pPr>
      <w:r>
        <w:rPr/>
        <w:t>“</w:t>
      </w:r>
      <w:r>
        <w:rPr>
          <w:rFonts w:ascii="Times New Roman" w:hAnsi="Times New Roman"/>
          <w:sz w:val="20"/>
        </w:rPr>
        <w:t xml:space="preserve">Par Call Date” means September 19, 2029 (six months prior to the maturity date of the Notes). </w:t>
      </w:r>
    </w:p>
    <w:p>
      <w:pPr>
        <w:pStyle w:val="TextBody"/>
        <w:bidi w:val="0"/>
        <w:spacing w:before="240" w:after="0"/>
        <w:jc w:val="left"/>
        <w:rPr/>
      </w:pPr>
      <w:r>
        <w:rPr/>
        <w:t>“</w:t>
      </w:r>
      <w:r>
        <w:rPr>
          <w:rFonts w:ascii="Times New Roman" w:hAnsi="Times New Roman"/>
          <w:sz w:val="20"/>
        </w:rPr>
        <w:t xml:space="preserve">Treasury Rate” means, with respect to any redemption date of the Notes, the yield determined by us in accordance with the following two paragraphs. </w:t>
      </w:r>
    </w:p>
    <w:p>
      <w:pPr>
        <w:pStyle w:val="TextBody"/>
        <w:bidi w:val="0"/>
        <w:spacing w:before="240" w:after="0"/>
        <w:jc w:val="left"/>
        <w:rPr>
          <w:rFonts w:ascii="Times New Roman" w:hAnsi="Times New Roman"/>
          <w:sz w:val="20"/>
        </w:rPr>
      </w:pPr>
      <w:r>
        <w:rPr>
          <w:rFonts w:ascii="Times New Roman" w:hAnsi="Times New Roman"/>
          <w:sz w:val="20"/>
        </w:rPr>
        <w:t xml:space="preserve">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Treasury Rate, we shall select, as applicable: (1) the yield for the Treasury constant maturity on H.15 exactly equal to the period from the redemption date to the Par Call Date (the “Remaining Life”); or (2) if there is no such Treasury constant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maturity on H. 15 exactly equal to the Remaining Life, the two yields — one yield corresponding to the Treasury constant maturity on H.15 immediately shorter than and one yield corresponding to the Treasury constant maturity on H. 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 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on the third business day preceding the redemption date H.15 TCM or any successor designation or publication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we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the principal amount) at 11:00 a.m., New York City time, of such United States Treasury security, and rounded to three decimal places. </w:t>
      </w:r>
    </w:p>
    <w:p>
      <w:pPr>
        <w:pStyle w:val="TextBody"/>
        <w:bidi w:val="0"/>
        <w:spacing w:before="240" w:after="0"/>
        <w:jc w:val="left"/>
        <w:rPr>
          <w:rFonts w:ascii="Times New Roman" w:hAnsi="Times New Roman"/>
          <w:sz w:val="20"/>
        </w:rPr>
      </w:pPr>
      <w:r>
        <w:rPr>
          <w:rFonts w:ascii="Times New Roman" w:hAnsi="Times New Roman"/>
          <w:sz w:val="20"/>
        </w:rPr>
        <w:t xml:space="preserve">Our actions and determinations in determining the redemption price of any of the Notes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Notice of any redemption will be mailed or electronically delivered (or otherwise transmitted in accordance with the depositary’s procedures) at least 30 days but not more than 60 days before the redemption date to each holder of notes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 partial redemption, selection of the Notes for redemption will be made pro rata, by lot or by such other method as the trustee in its sole discretion deems appropriate and fair.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Unless the Company defaults in payment of the redemption price, on and after the redemption date interest will cease to accrue on the notes or portions thereof called for redemption. </w:t>
      </w:r>
    </w:p>
    <w:p>
      <w:pPr>
        <w:pStyle w:val="TextBody"/>
        <w:bidi w:val="0"/>
        <w:spacing w:before="360" w:after="0"/>
        <w:jc w:val="left"/>
        <w:rPr>
          <w:rFonts w:ascii="Times New Roman" w:hAnsi="Times New Roman"/>
          <w:b/>
          <w:sz w:val="20"/>
        </w:rPr>
      </w:pPr>
      <w:r>
        <w:rPr>
          <w:rFonts w:ascii="Times New Roman" w:hAnsi="Times New Roman"/>
          <w:b/>
          <w:sz w:val="20"/>
        </w:rPr>
        <w:t xml:space="preserve">Offer to Repurchase Upon a Change of Control Repurchase Event </w:t>
      </w:r>
    </w:p>
    <w:p>
      <w:pPr>
        <w:pStyle w:val="TextBody"/>
        <w:bidi w:val="0"/>
        <w:spacing w:before="120" w:after="0"/>
        <w:jc w:val="left"/>
        <w:rPr>
          <w:rFonts w:ascii="Times New Roman" w:hAnsi="Times New Roman"/>
          <w:sz w:val="20"/>
        </w:rPr>
      </w:pPr>
      <w:r>
        <w:rPr>
          <w:rFonts w:ascii="Times New Roman" w:hAnsi="Times New Roman"/>
          <w:sz w:val="20"/>
        </w:rPr>
        <w:t xml:space="preserve">If a Change of Control Repurchase Event occurs, unless we have exercised our right to redeem the Notes in full, we will make an offer to each holder of the Notes to repurchase all or any part (in minimum denominations of $2,000 and integral multiples of $1,000 principal amount in excess thereof) of that holder’s Notes at a repurchase price in cash equal to 100% of the aggregate principal amount of Notes repurchased plus any accrued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unpaid interest on the Notes repurchased to, but not including, the date of repurchase. Within 30 days following any Change of Control Repurchase Event or, at our option, prior to any Change of Control, but after the public announcement of the Change of Control, we will mail a notice to each holder describing the transaction or transactions that constitute or may constitute the Change of Control Repurchase Event and offering to repurchase Notes on the payment date specified in the notice, which date will be no earlier than 30 days and no later than 60 days from the date such notice is mailed. The notice shall, if mailed prior to the date of consummation of the Change of Control, state that the offer to purchase is conditioned on the Change of Control Repurchase Event occurring on or prior to the payment date specified in the notice. We will comply with the requirements of Rule 14e-1 under the Exchange Act and any other securities laws and regulations thereunder to the extent those laws and regulations are applicable in connection with the repurchase of the Notes as a result of a Change of Control Repurchase Event. To the extent that the provisions of any securities laws or regulations conflict with the Change of Control Repurchase Event provisions of the Notes, we will comply with the applicable securities laws and regulations and will not be deemed to have breached our obligations under the Change of Control Repurchase Event provisions of the Notes by virtue of such conflict. </w:t>
      </w:r>
    </w:p>
    <w:p>
      <w:pPr>
        <w:pStyle w:val="TextBody"/>
        <w:bidi w:val="0"/>
        <w:spacing w:before="240" w:after="0"/>
        <w:jc w:val="left"/>
        <w:rPr>
          <w:rFonts w:ascii="Times New Roman" w:hAnsi="Times New Roman"/>
          <w:sz w:val="20"/>
        </w:rPr>
      </w:pPr>
      <w:r>
        <w:rPr>
          <w:rFonts w:ascii="Times New Roman" w:hAnsi="Times New Roman"/>
          <w:sz w:val="20"/>
        </w:rPr>
        <w:t xml:space="preserve">On the Change of Control Repurchase Event payment date, subject to extension if necessary to comply with the provisions of the 1940 Act, we will, to the extent lawful: </w:t>
      </w:r>
    </w:p>
    <w:p>
      <w:pPr>
        <w:pStyle w:val="TextBody"/>
        <w:bidi w:val="0"/>
        <w:spacing w:before="0" w:after="0"/>
        <w:jc w:val="left"/>
        <w:rPr/>
      </w:pPr>
      <w:r>
        <w:rPr/>
        <w:t> </w:t>
      </w:r>
    </w:p>
    <w:tbl>
      <w:tblPr>
        <w:tblW w:w="7645" w:type="dxa"/>
        <w:jc w:val="left"/>
        <w:tblInd w:w="0" w:type="dxa"/>
        <w:tblLayout w:type="fixed"/>
        <w:tblCellMar>
          <w:top w:w="0" w:type="dxa"/>
          <w:left w:w="0" w:type="dxa"/>
          <w:bottom w:w="0" w:type="dxa"/>
          <w:right w:w="0" w:type="dxa"/>
        </w:tblCellMar>
      </w:tblPr>
      <w:tblGrid>
        <w:gridCol w:w="75"/>
        <w:gridCol w:w="290"/>
        <w:gridCol w:w="728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(1)</w:t>
            </w:r>
          </w:p>
        </w:tc>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accept for payment all Notes or portions of Notes properly tendered pursuant to our offer;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6"/>
        <w:gridCol w:w="9854"/>
      </w:tblGrid>
      <w:tr>
        <w:trPr/>
        <w:tc>
          <w:tcPr>
            <w:tcW w:w="75"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(2)</w:t>
            </w:r>
          </w:p>
        </w:tc>
        <w:tc>
          <w:tcPr>
            <w:tcW w:w="985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deposit with the paying agent an amount equal to the aggregate purchase price in respect of all Notes or portions of Notes properly tendered;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3"/>
        <w:gridCol w:w="9867"/>
      </w:tblGrid>
      <w:tr>
        <w:trPr/>
        <w:tc>
          <w:tcPr>
            <w:tcW w:w="75"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(3)</w:t>
            </w:r>
          </w:p>
        </w:tc>
        <w:tc>
          <w:tcPr>
            <w:tcW w:w="98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deliver or cause to be delivered to the trustee the Notes properly accepted, together with an officers’ certificate stating the aggregate principal amount of Notes being purchased by us. </w:t>
            </w:r>
          </w:p>
        </w:tc>
      </w:tr>
    </w:tbl>
    <w:p>
      <w:pPr>
        <w:pStyle w:val="TextBody"/>
        <w:bidi w:val="0"/>
        <w:spacing w:before="240" w:after="0"/>
        <w:jc w:val="left"/>
        <w:rPr>
          <w:rFonts w:ascii="Times New Roman" w:hAnsi="Times New Roman"/>
          <w:sz w:val="20"/>
        </w:rPr>
      </w:pPr>
      <w:r>
        <w:rPr>
          <w:rFonts w:ascii="Times New Roman" w:hAnsi="Times New Roman"/>
          <w:sz w:val="20"/>
        </w:rPr>
        <w:t>The paying agent will promptly remit to each holder of Notes properly tendered the purchase price for the Notes, and the trustee will promptly authenticate and mail (or cause to be transferred by book-entry) to each holder a new Note equal in principal amount to any unpurchased portion of any Notes surrendered;</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provided</w:t>
      </w:r>
    </w:p>
    <w:p>
      <w:pPr>
        <w:pStyle w:val="TextBody"/>
        <w:bidi w:val="0"/>
        <w:spacing w:before="240" w:after="0"/>
        <w:jc w:val="left"/>
        <w:rPr>
          <w:rFonts w:ascii="Times New Roman" w:hAnsi="Times New Roman"/>
          <w:sz w:val="20"/>
        </w:rPr>
      </w:pPr>
      <w:r>
        <w:rPr>
          <w:rFonts w:ascii="Times New Roman" w:hAnsi="Times New Roman"/>
          <w:sz w:val="20"/>
        </w:rPr>
        <w:t xml:space="preserve">that each new Note will be in a minimum principal amount of $2,000 or an integral multiple of $1,000 in excess thereof. </w:t>
      </w:r>
    </w:p>
    <w:p>
      <w:pPr>
        <w:pStyle w:val="TextBody"/>
        <w:bidi w:val="0"/>
        <w:spacing w:before="240" w:after="0"/>
        <w:jc w:val="left"/>
        <w:rPr>
          <w:rFonts w:ascii="Times New Roman" w:hAnsi="Times New Roman"/>
          <w:sz w:val="20"/>
        </w:rPr>
      </w:pPr>
      <w:r>
        <w:rPr>
          <w:rFonts w:ascii="Times New Roman" w:hAnsi="Times New Roman"/>
          <w:sz w:val="20"/>
        </w:rPr>
        <w:t xml:space="preserve">We will not be required to make an offer to repurchase the Notes upon a Change of Control Repurchase Event if a third party makes an offer in the manner, at the times and otherwise in compliance with the requirements for an offer made by us and such third party purchases all Notes properly tendered and not withdrawn under its offer. </w:t>
      </w:r>
    </w:p>
    <w:p>
      <w:pPr>
        <w:pStyle w:val="TextBody"/>
        <w:bidi w:val="0"/>
        <w:spacing w:before="240" w:after="0"/>
        <w:jc w:val="left"/>
        <w:rPr>
          <w:rFonts w:ascii="Times New Roman" w:hAnsi="Times New Roman"/>
          <w:sz w:val="20"/>
        </w:rPr>
      </w:pPr>
      <w:r>
        <w:rPr>
          <w:rFonts w:ascii="Times New Roman" w:hAnsi="Times New Roman"/>
          <w:sz w:val="20"/>
        </w:rPr>
        <w:t xml:space="preserve">The source of funds that will be required to repurchase Notes in the event of a Change of Control Repurchase Event will be our available cash or cash generated from our operations or other potential sources, including funds provided by a purchaser in the Change of Control transaction, borrowings, sales of assets or sales of equity. We cannot assure you that sufficient funds from such sources will be available at the time of any Change of Control Repurchase Event to make required repurchases of Notes tendered. Before making any such repurchase of Notes, we would also have to comply with certain requirements under our Credit Facility, to the extent such requirements remain in effect at such time, or otherwise obtain consent from the lenders under the Credit Facility. The terms of our Credit Facility also provide that certain change of control events will constitute an event of default thereunder entitling the lenders to accelerate any indebtedness outstanding under our Credit Facility at that time and to terminate the Credit Facility. In addition, the occurrence of a Change of Control Repurchase Event enabling the holders of the Notes to require the mandatory purchase of the Notes would likely constitute an event of default under our Credit Facility, entitling the lenders to accelerate any indebtedness outstanding under our Credit Facility at that time and to terminate the Credit Facility. Our and our subsidiaries’ future financing facilities may contain similar provisions or other restrictions. Our failure to purchase such tendered Notes upon the occurrence of such Change of Control Repurchase Event would cause an event of default under the indenture governing the Notes and a cross-default under the agreements governing certain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our other indebtedness, including under the indenture governing the January 2026 Notes, the indenture governing the November 2026 Notes, and agreements governing the Credit Facility, which may result in the acceleration of such indebtedness requiring us to repay that indebtedness immediately. If the holders of the Notes, the January 2026 Notes, or the November 2026 Notes exercise their respective right to require us to repurchase any Notes, any January 2026 Notes, or any November 2026 Notes, respectively, upon a Change of Control Repurchase Event (as defined in the relevant indenture), the financial effect of any such repurchase could cause a default under our future debt instruments, even if the Change of Control Repurchase Event itself would not cause a default. It is possible that we will not have sufficient funds at the time of the Change of Control Repurchase Event to make the required repurchase of the Notes and/or our other debt. </w:t>
      </w:r>
    </w:p>
    <w:p>
      <w:pPr>
        <w:pStyle w:val="TextBody"/>
        <w:bidi w:val="0"/>
        <w:spacing w:before="240" w:after="0"/>
        <w:jc w:val="left"/>
        <w:rPr>
          <w:rFonts w:ascii="Times New Roman" w:hAnsi="Times New Roman"/>
          <w:sz w:val="20"/>
        </w:rPr>
      </w:pPr>
      <w:r>
        <w:rPr>
          <w:rFonts w:ascii="Times New Roman" w:hAnsi="Times New Roman"/>
          <w:sz w:val="20"/>
        </w:rPr>
        <w:t xml:space="preserve">The definition of “Change of Control” includes a phrase relating to the direct or indirect sale, transfer, conveyance or other disposition of “all or substantially all” of our properties or assets and those of our subsidiaries taken as a whole. Although there is a limited body of case law interpreting the phrase “substantially all,” there is no precise, established definition of the phrase under applicable law. Accordingly, the ability of a holder of Notes to require us to repurchase the Notes as a result of a sale, transfer, conveyance or other disposition of less than all of our assets and the assets of our subsidiaries taken as a whole to another person or group may be uncertain.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Notes: </w:t>
      </w:r>
    </w:p>
    <w:p>
      <w:pPr>
        <w:pStyle w:val="TextBody"/>
        <w:bidi w:val="0"/>
        <w:spacing w:before="240" w:after="0"/>
        <w:jc w:val="left"/>
        <w:rPr/>
      </w:pPr>
      <w:r>
        <w:rPr/>
        <w:t>“</w:t>
      </w:r>
      <w:r>
        <w:rPr>
          <w:rFonts w:ascii="Times New Roman" w:hAnsi="Times New Roman"/>
          <w:sz w:val="20"/>
        </w:rPr>
        <w:t>Below Investment Grade Rating Event” means the Notes are downgraded below Investment Grade by the Rating Agency on any date from the date of the public notice of an arrangement that results in a Change of Control until the end of the 60-day period following public notice of the occurrence of a Change of Control (which period shall be extended so long as the rating of the Notes is under publicly announced consideration for possible downgrade by the Rating Agency);</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provided</w:t>
      </w:r>
    </w:p>
    <w:p>
      <w:pPr>
        <w:pStyle w:val="TextBody"/>
        <w:bidi w:val="0"/>
        <w:spacing w:before="240" w:after="0"/>
        <w:jc w:val="left"/>
        <w:rPr>
          <w:rFonts w:ascii="Times New Roman" w:hAnsi="Times New Roman"/>
          <w:sz w:val="20"/>
        </w:rPr>
      </w:pPr>
      <w:r>
        <w:rPr>
          <w:rFonts w:ascii="Times New Roman" w:hAnsi="Times New Roman"/>
          <w:sz w:val="20"/>
        </w:rPr>
        <w:t xml:space="preserve">that a Below Investment Grade Rating Event otherwise arising by virtue of a particular reduction in rating shall not be deemed to have occurred in respect of a particular Change of Control (and thus shall not be deemed a Below Investment Grade Rating Event for purposes of the definition of Change of Control Repurchase Event hereunder) if the Rating Agency making the reduction in rating to which this definition would otherwise apply does not announce or publicly confirm or inform the trustee in writing at its request (acting at the written direction of the holders of a majority of Principal amounts of the Notes)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 </w:t>
      </w:r>
    </w:p>
    <w:p>
      <w:pPr>
        <w:pStyle w:val="TextBody"/>
        <w:bidi w:val="0"/>
        <w:spacing w:before="240" w:after="0"/>
        <w:jc w:val="left"/>
        <w:rPr/>
      </w:pPr>
      <w:r>
        <w:rPr/>
        <w:t>“</w:t>
      </w:r>
      <w:r>
        <w:rPr>
          <w:rFonts w:ascii="Times New Roman" w:hAnsi="Times New Roman"/>
          <w:sz w:val="20"/>
        </w:rPr>
        <w:t xml:space="preserve">Change of Control” means the occurrence of any of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3"/>
        <w:gridCol w:w="9887"/>
      </w:tblGrid>
      <w:tr>
        <w:trPr/>
        <w:tc>
          <w:tcPr>
            <w:tcW w:w="75"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(1)</w:t>
            </w:r>
          </w:p>
        </w:tc>
        <w:tc>
          <w:tcPr>
            <w:tcW w:w="988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direct or indirect sale, lease, transfer, conveyance or other disposition (other than by way of merger or consolidation) in one or a series of related transactions, of all or substantially all of the assets of Fidus Investment Corporation and its Controlled Subsidiaries taken as a whole to any “person” or </w:t>
            </w:r>
          </w:p>
        </w:tc>
      </w:tr>
    </w:tbl>
    <w:p>
      <w:pPr>
        <w:pStyle w:val="TextBody"/>
        <w:bidi w:val="0"/>
        <w:spacing w:before="120" w:after="0"/>
        <w:jc w:val="left"/>
        <w:rPr/>
      </w:pPr>
      <w:r>
        <w:rPr/>
        <w:t>“</w:t>
      </w:r>
      <w:r>
        <w:rPr>
          <w:rFonts w:ascii="Times New Roman" w:hAnsi="Times New Roman"/>
          <w:sz w:val="20"/>
        </w:rPr>
        <w:t xml:space="preserve">group” (as those terms are used in Section 13(d)(3) of the Exchange Act), other than to any Permitted Holders; provided that, for the avoidance of doubt, a pledge of assets pursuant to any secured debt instrument of Fidus Investment Corporation or its Controlled Subsidiaries shall not be deemed to be any such sale, lease, transfer, conveyance or disposition;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(2)</w:t>
            </w:r>
          </w:p>
        </w:tc>
        <w:tc>
          <w:tcPr>
            <w:tcW w:w="989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consummation of any transaction (including, without limitation, any merger or consolidation) the result of which is that any “person” or “group” (as those terms are used in Section 13(d)(3) of the Exchange Act) (other than any Permitted Holders) becomes the “beneficial owner” (as defined in Rules 13d-3 and 13d-5 under the Exchange Act), directly or indirectly, of more than 50% of the outstanding Voting Stock of Fidus Investment Corporation, measured by voting power rather than number of shares;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0"/>
        <w:gridCol w:w="9860"/>
      </w:tblGrid>
      <w:tr>
        <w:trPr/>
        <w:tc>
          <w:tcPr>
            <w:tcW w:w="75"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(3)</w:t>
            </w:r>
          </w:p>
        </w:tc>
        <w:tc>
          <w:tcPr>
            <w:tcW w:w="98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approval by Fidus Investment Corporation’s stockholders of any plan or proposal relating to the liquidation or dissolution of Fidus Investment Corporation.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p>
    <w:p>
      <w:pPr>
        <w:pStyle w:val="HorizontalLine"/>
        <w:pBdr>
          <w:bottom w:val="double" w:sz="2" w:space="0" w:color="808080"/>
        </w:pBdr>
        <w:bidi w:val="0"/>
        <w:spacing w:before="0" w:after="283"/>
        <w:jc w:val="left"/>
        <w:rPr/>
      </w:pPr>
      <w:r>
        <w:rPr/>
      </w:r>
    </w:p>
    <w:p>
      <w:pPr>
        <w:pStyle w:val="TextBody"/>
        <w:bidi w:val="0"/>
        <w:spacing w:before="0" w:after="0"/>
        <w:jc w:val="left"/>
        <w:rPr/>
      </w:pPr>
      <w:r>
        <w:rPr/>
        <w:t>“</w:t>
      </w:r>
      <w:r>
        <w:rPr>
          <w:rFonts w:ascii="Times New Roman" w:hAnsi="Times New Roman"/>
          <w:sz w:val="20"/>
        </w:rPr>
        <w:t xml:space="preserve">Change of Control Repurchase Event” means the occurrence of a Change of Control and a Below Investment Grade Rating Event. </w:t>
      </w:r>
    </w:p>
    <w:p>
      <w:pPr>
        <w:pStyle w:val="TextBody"/>
        <w:bidi w:val="0"/>
        <w:spacing w:before="240" w:after="0"/>
        <w:jc w:val="left"/>
        <w:rPr/>
      </w:pPr>
      <w:r>
        <w:rPr/>
        <w:t>“</w:t>
      </w:r>
      <w:r>
        <w:rPr>
          <w:rFonts w:ascii="Times New Roman" w:hAnsi="Times New Roman"/>
          <w:sz w:val="20"/>
        </w:rPr>
        <w:t xml:space="preserve">Controlled Subsidiary” means any subsidiary of Fidus Investment Corporation, 50% or more of the outstanding equity interests of which are owned by Fidus Investment Corporation and its direct or indirect subsidiaries and of which Fidus Investment Corporation possesses, directly or indirectly, the power to direct or cause the direction of the management or policies, whether through the ownership of voting equity interests, by agreement or otherwise. </w:t>
      </w:r>
    </w:p>
    <w:p>
      <w:pPr>
        <w:pStyle w:val="TextBody"/>
        <w:bidi w:val="0"/>
        <w:spacing w:before="240" w:after="0"/>
        <w:jc w:val="left"/>
        <w:rPr/>
      </w:pPr>
      <w:r>
        <w:rPr/>
        <w:t>“</w:t>
      </w:r>
      <w:r>
        <w:rPr>
          <w:rFonts w:ascii="Times New Roman" w:hAnsi="Times New Roman"/>
          <w:sz w:val="20"/>
        </w:rPr>
        <w:t xml:space="preserve">Fitch” means Fitch Ratings, Inc., or any successor thereto. </w:t>
      </w:r>
    </w:p>
    <w:p>
      <w:pPr>
        <w:pStyle w:val="TextBody"/>
        <w:bidi w:val="0"/>
        <w:spacing w:before="240" w:after="0"/>
        <w:jc w:val="left"/>
        <w:rPr/>
      </w:pPr>
      <w:r>
        <w:rPr/>
        <w:t>“</w:t>
      </w:r>
      <w:r>
        <w:rPr>
          <w:rFonts w:ascii="Times New Roman" w:hAnsi="Times New Roman"/>
          <w:sz w:val="20"/>
        </w:rPr>
        <w:t xml:space="preserve">Investment Grade” means a rating of BBB- or better by Fitch (or its equivalent under any successor rating categories of Fitch) (or, in any case, if such Rating Agency ceases to rate the Notes for reasons outside of our control, the equivalent investment grade credit rating from any Rating Agency selected by us as a replacement Rating Agency). </w:t>
      </w:r>
    </w:p>
    <w:p>
      <w:pPr>
        <w:pStyle w:val="TextBody"/>
        <w:bidi w:val="0"/>
        <w:spacing w:before="240" w:after="0"/>
        <w:jc w:val="left"/>
        <w:rPr/>
      </w:pPr>
      <w:r>
        <w:rPr/>
        <w:t>“</w:t>
      </w:r>
      <w:r>
        <w:rPr>
          <w:rFonts w:ascii="Times New Roman" w:hAnsi="Times New Roman"/>
          <w:sz w:val="20"/>
        </w:rPr>
        <w:t xml:space="preserve">Permitted Holders” means (i) us, (ii) one or more of our Controlled Subsidiaries or (iii) the Adviser, any affiliate of the Adviser or any entity that is managed or advised by the Adviser or any of their affiliates. </w:t>
      </w:r>
    </w:p>
    <w:p>
      <w:pPr>
        <w:pStyle w:val="TextBody"/>
        <w:bidi w:val="0"/>
        <w:spacing w:before="240" w:after="0"/>
        <w:jc w:val="left"/>
        <w:rPr/>
      </w:pPr>
      <w:r>
        <w:rPr/>
        <w:t>“</w:t>
      </w:r>
      <w:r>
        <w:rPr>
          <w:rFonts w:ascii="Times New Roman" w:hAnsi="Times New Roman"/>
          <w:sz w:val="20"/>
        </w:rPr>
        <w:t xml:space="preserve">Rating Agency” means: </w:t>
      </w:r>
    </w:p>
    <w:p>
      <w:pPr>
        <w:pStyle w:val="TextBody"/>
        <w:bidi w:val="0"/>
        <w:spacing w:before="0" w:after="0"/>
        <w:jc w:val="left"/>
        <w:rPr/>
      </w:pPr>
      <w:r>
        <w:rPr/>
        <w:t> </w:t>
      </w:r>
    </w:p>
    <w:tbl>
      <w:tblPr>
        <w:tblW w:w="1270" w:type="dxa"/>
        <w:jc w:val="left"/>
        <w:tblInd w:w="0" w:type="dxa"/>
        <w:tblLayout w:type="fixed"/>
        <w:tblCellMar>
          <w:top w:w="0" w:type="dxa"/>
          <w:left w:w="0" w:type="dxa"/>
          <w:bottom w:w="0" w:type="dxa"/>
          <w:right w:w="0" w:type="dxa"/>
        </w:tblCellMar>
      </w:tblPr>
      <w:tblGrid>
        <w:gridCol w:w="75"/>
        <w:gridCol w:w="290"/>
        <w:gridCol w:w="90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(1)</w:t>
            </w:r>
          </w:p>
        </w:tc>
        <w:tc>
          <w:tcPr>
            <w:tcW w:w="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Fitch;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5"/>
        <w:gridCol w:w="98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(2)</w:t>
            </w:r>
          </w:p>
        </w:tc>
        <w:tc>
          <w:tcPr>
            <w:tcW w:w="9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Fitch ceases to rate the Notes or fails to make a rating of the Notes publicly available for reasons outside of our control, a “nationally recognized statistical rating organization” as defined in Section 3(a)(62) of the Exchange Act selected by us as a replacement agency for Fitch. </w:t>
            </w:r>
          </w:p>
        </w:tc>
      </w:tr>
    </w:tbl>
    <w:p>
      <w:pPr>
        <w:pStyle w:val="TextBody"/>
        <w:bidi w:val="0"/>
        <w:spacing w:before="240" w:after="0"/>
        <w:jc w:val="left"/>
        <w:rPr/>
      </w:pPr>
      <w:r>
        <w:rPr/>
        <w:t>“</w:t>
      </w:r>
      <w:r>
        <w:rPr>
          <w:rFonts w:ascii="Times New Roman" w:hAnsi="Times New Roman"/>
          <w:sz w:val="20"/>
        </w:rPr>
        <w:t xml:space="preserve">Voting Stock” as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 </w:t>
      </w:r>
    </w:p>
    <w:p>
      <w:pPr>
        <w:pStyle w:val="TextBody"/>
        <w:bidi w:val="0"/>
        <w:spacing w:before="360" w:after="0"/>
        <w:jc w:val="left"/>
        <w:rPr>
          <w:rFonts w:ascii="Times New Roman" w:hAnsi="Times New Roman"/>
          <w:b/>
          <w:sz w:val="20"/>
        </w:rPr>
      </w:pPr>
      <w:r>
        <w:rPr>
          <w:rFonts w:ascii="Times New Roman" w:hAnsi="Times New Roman"/>
          <w:b/>
          <w:sz w:val="20"/>
        </w:rPr>
        <w:t xml:space="preserve">Global Securities </w:t>
      </w:r>
    </w:p>
    <w:p>
      <w:pPr>
        <w:pStyle w:val="TextBody"/>
        <w:bidi w:val="0"/>
        <w:spacing w:before="120" w:after="0"/>
        <w:jc w:val="left"/>
        <w:rPr>
          <w:rFonts w:ascii="Times New Roman" w:hAnsi="Times New Roman"/>
          <w:sz w:val="20"/>
        </w:rPr>
      </w:pPr>
      <w:r>
        <w:rPr>
          <w:rFonts w:ascii="Times New Roman" w:hAnsi="Times New Roman"/>
          <w:sz w:val="20"/>
        </w:rPr>
        <w:t>Each Note will be issued in book-entry form and represented by a global security that we deposit with and register in the name of DTC or its nominee. A global security may not be transferred to or registered in the name of anyone other than the depositary or its nominee, unless special termination situations arise. As a result of these arrangements, the depositary, or its nominee, will be the sole registered owner and holder of all the Notes represented by a global security, and investors will be permitted to own only beneficial interests in a global security. For more information about these arrangements, see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Book-Entry Procedures” below.</w:t>
      </w:r>
    </w:p>
    <w:p>
      <w:pPr>
        <w:pStyle w:val="TextBody"/>
        <w:bidi w:val="0"/>
        <w:spacing w:before="360" w:after="0"/>
        <w:jc w:val="left"/>
        <w:rPr>
          <w:rFonts w:ascii="Times New Roman" w:hAnsi="Times New Roman"/>
          <w:b/>
          <w:sz w:val="20"/>
        </w:rPr>
      </w:pPr>
      <w:r>
        <w:rPr>
          <w:rFonts w:ascii="Times New Roman" w:hAnsi="Times New Roman"/>
          <w:b/>
          <w:sz w:val="20"/>
        </w:rPr>
        <w:t xml:space="preserve">Termination of a Global Security </w:t>
      </w:r>
    </w:p>
    <w:p>
      <w:pPr>
        <w:pStyle w:val="TextBody"/>
        <w:bidi w:val="0"/>
        <w:spacing w:before="120" w:after="0"/>
        <w:jc w:val="left"/>
        <w:rPr>
          <w:rFonts w:ascii="Times New Roman" w:hAnsi="Times New Roman"/>
          <w:sz w:val="20"/>
        </w:rPr>
      </w:pPr>
      <w:r>
        <w:rPr>
          <w:rFonts w:ascii="Times New Roman" w:hAnsi="Times New Roman"/>
          <w:sz w:val="20"/>
        </w:rPr>
        <w:t xml:space="preserve">If a global security is terminated for any reason, interests in it will be exchanged for certificates in non-book-entry form (certificated securities). After that exchange, the choice of whether to hold the certificated Notes directly or in street name will be up to the investor. Investors must consult their own banks or brokers to find out how to have their interests in a global security transferred on termination to their own names, so that they will be holders. </w:t>
      </w:r>
    </w:p>
    <w:p>
      <w:pPr>
        <w:pStyle w:val="TextBody"/>
        <w:bidi w:val="0"/>
        <w:spacing w:before="360" w:after="0"/>
        <w:jc w:val="left"/>
        <w:rPr>
          <w:rFonts w:ascii="Times New Roman" w:hAnsi="Times New Roman"/>
          <w:b/>
          <w:sz w:val="20"/>
        </w:rPr>
      </w:pPr>
      <w:r>
        <w:rPr>
          <w:rFonts w:ascii="Times New Roman" w:hAnsi="Times New Roman"/>
          <w:b/>
          <w:sz w:val="20"/>
        </w:rPr>
        <w:t xml:space="preserve">Conversion and Exchange </w:t>
      </w:r>
    </w:p>
    <w:p>
      <w:pPr>
        <w:pStyle w:val="TextBody"/>
        <w:bidi w:val="0"/>
        <w:spacing w:before="120" w:after="0"/>
        <w:jc w:val="left"/>
        <w:rPr>
          <w:rFonts w:ascii="Times New Roman" w:hAnsi="Times New Roman"/>
          <w:sz w:val="20"/>
        </w:rPr>
      </w:pPr>
      <w:r>
        <w:rPr>
          <w:rFonts w:ascii="Times New Roman" w:hAnsi="Times New Roman"/>
          <w:sz w:val="20"/>
        </w:rPr>
        <w:t xml:space="preserve">The Notes are not convertible into or exchangeable for other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Payment and Paying Agents </w:t>
      </w:r>
    </w:p>
    <w:p>
      <w:pPr>
        <w:pStyle w:val="TextBody"/>
        <w:bidi w:val="0"/>
        <w:spacing w:before="120" w:after="0"/>
        <w:jc w:val="left"/>
        <w:rPr>
          <w:rFonts w:ascii="Times New Roman" w:hAnsi="Times New Roman"/>
          <w:sz w:val="20"/>
        </w:rPr>
      </w:pPr>
      <w:r>
        <w:rPr>
          <w:rFonts w:ascii="Times New Roman" w:hAnsi="Times New Roman"/>
          <w:sz w:val="20"/>
        </w:rPr>
        <w:t xml:space="preserve">We will pay interest to the person listed in the trustee’s records as the owner of the Notes at the close of business on a particular day in advance of each due date for interest, even if that person no longer owns the Note on the interest due date. That day, usually about two weeks in advance of the interest due date, is called the “record date.” Because we will pay all the interest for an interest period to the holders on the record date, holders buying and selling the Notes must work out between themselves the appropriate purchase price. The most common manner is to adjust the sales price of the Notes to prorate interest fairly between buyer and seller based on their respective ownership periods within the particular interest period. This prorated interest amount is called “accrued interest.” </w:t>
      </w:r>
    </w:p>
    <w:p>
      <w:pPr>
        <w:pStyle w:val="TextBody"/>
        <w:bidi w:val="0"/>
        <w:spacing w:before="360" w:after="0"/>
        <w:jc w:val="left"/>
        <w:rPr>
          <w:rFonts w:ascii="Times New Roman" w:hAnsi="Times New Roman"/>
          <w:b/>
          <w:sz w:val="20"/>
        </w:rPr>
      </w:pPr>
      <w:r>
        <w:rPr>
          <w:rFonts w:ascii="Times New Roman" w:hAnsi="Times New Roman"/>
          <w:b/>
          <w:sz w:val="20"/>
        </w:rPr>
        <w:t xml:space="preserve">Payments on Global Securities </w:t>
      </w:r>
    </w:p>
    <w:p>
      <w:pPr>
        <w:pStyle w:val="TextBody"/>
        <w:bidi w:val="0"/>
        <w:spacing w:before="120" w:after="0"/>
        <w:jc w:val="left"/>
        <w:rPr>
          <w:rFonts w:ascii="Times New Roman" w:hAnsi="Times New Roman"/>
          <w:sz w:val="20"/>
        </w:rPr>
      </w:pPr>
      <w:r>
        <w:rPr>
          <w:rFonts w:ascii="Times New Roman" w:hAnsi="Times New Roman"/>
          <w:sz w:val="20"/>
        </w:rPr>
        <w:t>We will make payments on the Notes so long as they are represented by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w:t>
      </w:r>
    </w:p>
    <w:p>
      <w:pPr>
        <w:pStyle w:val="TextBody"/>
        <w:bidi w:val="0"/>
        <w:spacing w:before="120" w:after="0"/>
        <w:jc w:val="left"/>
        <w:rPr>
          <w:caps w:val="false"/>
          <w:smallCaps w:val="false"/>
          <w:spacing w:val="0"/>
        </w:rPr>
      </w:pPr>
      <w:r>
        <w:rPr>
          <w:caps w:val="false"/>
          <w:smallCaps w:val="false"/>
          <w:spacing w:val="0"/>
        </w:rPr>
        <w:t xml:space="preserve">— </w:t>
      </w:r>
      <w:r>
        <w:rPr>
          <w:rFonts w:ascii="Times New Roman" w:hAnsi="Times New Roman"/>
          <w:i/>
          <w:caps w:val="false"/>
          <w:smallCaps w:val="false"/>
          <w:spacing w:val="0"/>
          <w:sz w:val="20"/>
        </w:rPr>
        <w:t>Book-Entry Procedures</w:t>
      </w:r>
    </w:p>
    <w:p>
      <w:pPr>
        <w:pStyle w:val="TextBody"/>
        <w:bidi w:val="0"/>
        <w:spacing w:before="120" w:after="0"/>
        <w:jc w:val="left"/>
        <w:rPr/>
      </w:pPr>
      <w:r>
        <w:rPr/>
        <w:t xml:space="preserve">” </w:t>
      </w:r>
      <w:r>
        <w:rPr>
          <w:rFonts w:ascii="Times New Roman" w:hAnsi="Times New Roman"/>
          <w:sz w:val="20"/>
        </w:rPr>
        <w:t xml:space="preserve">below. </w:t>
      </w:r>
    </w:p>
    <w:p>
      <w:pPr>
        <w:pStyle w:val="TextBody"/>
        <w:bidi w:val="0"/>
        <w:spacing w:before="360" w:after="0"/>
        <w:jc w:val="left"/>
        <w:rPr>
          <w:rFonts w:ascii="Times New Roman" w:hAnsi="Times New Roman"/>
          <w:b/>
          <w:sz w:val="20"/>
        </w:rPr>
      </w:pPr>
      <w:r>
        <w:rPr>
          <w:rFonts w:ascii="Times New Roman" w:hAnsi="Times New Roman"/>
          <w:b/>
          <w:sz w:val="20"/>
        </w:rPr>
        <w:t xml:space="preserve">Payments on Certificated Securities </w:t>
      </w:r>
    </w:p>
    <w:p>
      <w:pPr>
        <w:pStyle w:val="TextBody"/>
        <w:bidi w:val="0"/>
        <w:spacing w:before="120" w:after="0"/>
        <w:jc w:val="left"/>
        <w:rPr>
          <w:rFonts w:ascii="Times New Roman" w:hAnsi="Times New Roman"/>
          <w:sz w:val="20"/>
        </w:rPr>
      </w:pPr>
      <w:r>
        <w:rPr>
          <w:rFonts w:ascii="Times New Roman" w:hAnsi="Times New Roman"/>
          <w:sz w:val="20"/>
        </w:rPr>
        <w:t xml:space="preserve">In the event the Notes become represented by certificated securities, we will make payments on the Notes as follows. We will pay interest that is due on an interest payment date to the holder of the Notes as shown on the trustee’s records as of the close of business on the regular record date. We will make all payments of principal and premium, if any, by check at the office of the applicable trustee in New York, New York and/or at other offices that may be specified in the indenture or a notice to holders against surrender of the Note. </w:t>
      </w:r>
    </w:p>
    <w:p>
      <w:pPr>
        <w:pStyle w:val="TextBody"/>
        <w:bidi w:val="0"/>
        <w:spacing w:before="240" w:after="0"/>
        <w:jc w:val="left"/>
        <w:rPr>
          <w:rFonts w:ascii="Times New Roman" w:hAnsi="Times New Roman"/>
          <w:sz w:val="20"/>
        </w:rPr>
      </w:pPr>
      <w:r>
        <w:rPr>
          <w:rFonts w:ascii="Times New Roman" w:hAnsi="Times New Roman"/>
          <w:sz w:val="20"/>
        </w:rPr>
        <w:t xml:space="preserve">Alternatively, if the holder asks us to do so, we will pay any amount that becomes due on the debt security by wire transfer of immediately available funds to an account at a bank in New York, New York, on the due date. To request payment by wire, the holder must give the applicable trustee or other paying agent appropriate written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 </w:t>
      </w:r>
    </w:p>
    <w:p>
      <w:pPr>
        <w:pStyle w:val="TextBody"/>
        <w:bidi w:val="0"/>
        <w:spacing w:before="360" w:after="0"/>
        <w:jc w:val="left"/>
        <w:rPr>
          <w:rFonts w:ascii="Times New Roman" w:hAnsi="Times New Roman"/>
          <w:b/>
          <w:sz w:val="20"/>
        </w:rPr>
      </w:pPr>
      <w:r>
        <w:rPr>
          <w:rFonts w:ascii="Times New Roman" w:hAnsi="Times New Roman"/>
          <w:b/>
          <w:sz w:val="20"/>
        </w:rPr>
        <w:t xml:space="preserve">Payment When Offices Are Closed </w:t>
      </w:r>
    </w:p>
    <w:p>
      <w:pPr>
        <w:pStyle w:val="TextBody"/>
        <w:bidi w:val="0"/>
        <w:spacing w:before="120" w:after="0"/>
        <w:jc w:val="left"/>
        <w:rPr>
          <w:rFonts w:ascii="Times New Roman" w:hAnsi="Times New Roman"/>
          <w:sz w:val="20"/>
        </w:rPr>
      </w:pPr>
      <w:r>
        <w:rPr>
          <w:rFonts w:ascii="Times New Roman" w:hAnsi="Times New Roman"/>
          <w:sz w:val="20"/>
        </w:rPr>
        <w:t xml:space="preserve">If any payment is due on the Notes on a day that is not a business day, we will make the payment on the next day that is a business day. Payments made on the next business day in this situation will be treated under the indenture as if they were made on the original due date. Such payment will not result in a default under the Notes or the indenture, and no interest will accrue on the payment amount from the original due date to the next day that is a business day.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and other indirect holders should consult their banks or brokers for information on how they will receive payments on the Notes. </w:t>
      </w:r>
    </w:p>
    <w:p>
      <w:pPr>
        <w:pStyle w:val="TextBody"/>
        <w:bidi w:val="0"/>
        <w:spacing w:before="12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You will have rights if an Event of Default occurs in respect of the Notes and the Event of Default is not cured, as described later in this subsection. </w:t>
      </w:r>
    </w:p>
    <w:p>
      <w:pPr>
        <w:pStyle w:val="TextBody"/>
        <w:bidi w:val="0"/>
        <w:spacing w:before="240" w:after="0"/>
        <w:jc w:val="left"/>
        <w:rPr>
          <w:rFonts w:ascii="Times New Roman" w:hAnsi="Times New Roman"/>
          <w:sz w:val="20"/>
        </w:rPr>
      </w:pPr>
      <w:r>
        <w:rPr>
          <w:rFonts w:ascii="Times New Roman" w:hAnsi="Times New Roman"/>
          <w:sz w:val="20"/>
        </w:rPr>
        <w:t xml:space="preserve">The term “Event of Default” in respect of the Notes means any of the following: </w:t>
      </w:r>
    </w:p>
    <w:p>
      <w:pPr>
        <w:pStyle w:val="TextBody"/>
        <w:bidi w:val="0"/>
        <w:spacing w:before="0" w:after="0"/>
        <w:jc w:val="left"/>
        <w:rPr/>
      </w:pPr>
      <w:r>
        <w:rPr/>
        <w:t> </w:t>
      </w:r>
    </w:p>
    <w:tbl>
      <w:tblPr>
        <w:tblW w:w="8335" w:type="dxa"/>
        <w:jc w:val="left"/>
        <w:tblInd w:w="0" w:type="dxa"/>
        <w:tblLayout w:type="fixed"/>
        <w:tblCellMar>
          <w:top w:w="0" w:type="dxa"/>
          <w:left w:w="0" w:type="dxa"/>
          <w:bottom w:w="0" w:type="dxa"/>
          <w:right w:w="0" w:type="dxa"/>
        </w:tblCellMar>
      </w:tblPr>
      <w:tblGrid>
        <w:gridCol w:w="75"/>
        <w:gridCol w:w="110"/>
        <w:gridCol w:w="60"/>
        <w:gridCol w:w="80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do not pay the principal of (or premium on, if any) any Note when due and payable at maturity;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p>
    <w:p>
      <w:pPr>
        <w:pStyle w:val="HorizontalLine"/>
        <w:pBdr>
          <w:bottom w:val="double" w:sz="2" w:space="0" w:color="808080"/>
        </w:pBdr>
        <w:bidi w:val="0"/>
        <w:spacing w:before="0" w:after="283"/>
        <w:jc w:val="left"/>
        <w:rPr/>
      </w:pPr>
      <w:r>
        <w:rPr/>
      </w:r>
    </w:p>
    <w:tbl>
      <w:tblPr>
        <w:tblW w:w="9955" w:type="dxa"/>
        <w:jc w:val="left"/>
        <w:tblInd w:w="0" w:type="dxa"/>
        <w:tblLayout w:type="fixed"/>
        <w:tblCellMar>
          <w:top w:w="0" w:type="dxa"/>
          <w:left w:w="0" w:type="dxa"/>
          <w:bottom w:w="0" w:type="dxa"/>
          <w:right w:w="0" w:type="dxa"/>
        </w:tblCellMar>
      </w:tblPr>
      <w:tblGrid>
        <w:gridCol w:w="75"/>
        <w:gridCol w:w="110"/>
        <w:gridCol w:w="60"/>
        <w:gridCol w:w="97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do not pay interest on any Note when due and payable, and such default is not cured within 30 days of its due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remain in breach of any other covenant in respect of the Notes for 60 days after we receive a written notice of default stating we are in breach (the notice must be sent by either the trustee or holders of at least 25% of the principal amount of the outstanding Notes);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Default by us or any of our significant subsidiaries, as defined in Article 1, Rule 1-02 of Regulation S-X promulgated under the Exchange Act (but excluding any subsidiary which is (a) a non-recourse or limited recourse subsidiary, (b) a bankruptcy remote special purpose vehicle, or (c) is not consolidated with Fidus Investment Corporation for purposes of GAAP), with respect to any mortgage, agreement or other instrument under which there may be outstanding, or by which there may be secured or evidenced, any indebtedness for money borrowed in excess of $50 million in the aggregate of us and/or any such subsidiary, whether such indebtedness now exists or shall hereafter be created (i) resulting in such indebtedness becoming or being declared due and payable or (ii) constituting a failure to pay the principal or interest of any such debt when due and payable at its stated maturity, upon required repurchase, upon declaration of acceleration or otherwise, unless, in either case, such indebtedness is discharged, or such acceleration is rescinded, stayed or annulled, within a period of 30 calendar days after written notice of such failure is given to us by the trustee or to us and the trustee by the holders of at least 25% in aggregate principal amount of the Notes then outstanding;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file for bankruptcy or certain other events of bankruptcy, insolvency or reorganization occur and remain undischarged or unstayed for a period of 60 days;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the last business day of each of twenty-four consecutive calendar months, the Notes have an asset coverage (as such term is defined in the 1940 Act) of less than 100%.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 Event of Default for the Notes may, but does not necessarily, constitute an Event of Default for any other series of debt securities issued under the same or any other indenture. Within 90 days after the occurrence of any default under the indenture with respect to the Notes, the trustee shall transmit notice to the holders of such default known to the trustee, unless such default shall have been cured or waived; provided, however, that, except in the case of a default in the payment of the principal of (or premium, if any, on) or interest, if any, on any Note, the trustee shall be protected in withholding such notice if and so long as the board of directors, the executive committee or a trust committee of directors of the trustee in good faith determines that withholding of such notice is in the interest of the holders of the Notes; and provided further that in the case of any default or breach specified in the third bullet point above with respect to the Notes, no such notice shall be given until at least 60 days after the occurrence thereof.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Remedies if an Event of Default Occurs </w:t>
      </w:r>
    </w:p>
    <w:p>
      <w:pPr>
        <w:pStyle w:val="TextBody"/>
        <w:bidi w:val="0"/>
        <w:spacing w:before="120" w:after="0"/>
        <w:jc w:val="left"/>
        <w:rPr>
          <w:rFonts w:ascii="Times New Roman" w:hAnsi="Times New Roman"/>
          <w:sz w:val="20"/>
        </w:rPr>
      </w:pPr>
      <w:r>
        <w:rPr>
          <w:rFonts w:ascii="Times New Roman" w:hAnsi="Times New Roman"/>
          <w:sz w:val="20"/>
        </w:rPr>
        <w:t xml:space="preserve">If an Event of Default has occurred and is continuing, then and in every case (other than an Event of Default specified in the penultimate bullet point above), the trustee or the holders of not less than 25% in principal amount of the Notes may declare the entire principal amount of all the Notes to be due and immediately payable, but this does not entitle any holder of Notes to any redemption payout or redemption premium. Notwithstanding the foregoing, in the case of the events of bankruptcy, insolvency or reorganization described in the penultimate bullet point above, 100% of the principal of and accrued and unpaid interest on the Notes will automatically become due and payable. In certain circumstances, a declaration of acceleration of maturity pursuant to either of the prior two sentences may be canceled by the holders of a majority in principal amount of the Notes if (1) we have deposited with the trustee all amounts due and owing with respect to the Notes (other than principal or any payment that has become due solely by reason of such acceleration) and certain other amounts, and (2) any other Events of Default have been cured or waived. </w:t>
      </w:r>
    </w:p>
    <w:p>
      <w:pPr>
        <w:pStyle w:val="TextBody"/>
        <w:bidi w:val="0"/>
        <w:spacing w:before="240" w:after="0"/>
        <w:jc w:val="left"/>
        <w:rPr>
          <w:rFonts w:ascii="Times New Roman" w:hAnsi="Times New Roman"/>
          <w:sz w:val="20"/>
        </w:rPr>
      </w:pPr>
      <w:r>
        <w:rPr>
          <w:rFonts w:ascii="Times New Roman" w:hAnsi="Times New Roman"/>
          <w:sz w:val="20"/>
        </w:rPr>
        <w:t xml:space="preserve">Except in cases of default, where the trustee has some special duties, the trustee is not required to take any action under the indenture at the request of any holders unless the holders offer the trustee protection 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expenses and liability reasonably satisfactory to it (called an “indemnity”). If indemnity reasonably satisfactory to the trustee is provided, the holders of a majority in principal amount of the Notes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Before you are allowed to bypass the trustee and bring your own lawsuit or other formal legal action or take other steps to enforce your rights or protect your interests relating to the Notes, the following must occur: </w:t>
      </w:r>
    </w:p>
    <w:p>
      <w:pPr>
        <w:pStyle w:val="TextBody"/>
        <w:bidi w:val="0"/>
        <w:spacing w:before="0" w:after="0"/>
        <w:jc w:val="left"/>
        <w:rPr/>
      </w:pPr>
      <w:r>
        <w:rPr/>
        <w:t> </w:t>
      </w:r>
    </w:p>
    <w:tbl>
      <w:tblPr>
        <w:tblW w:w="8395" w:type="dxa"/>
        <w:jc w:val="left"/>
        <w:tblInd w:w="0" w:type="dxa"/>
        <w:tblLayout w:type="fixed"/>
        <w:tblCellMar>
          <w:top w:w="0" w:type="dxa"/>
          <w:left w:w="0" w:type="dxa"/>
          <w:bottom w:w="0" w:type="dxa"/>
          <w:right w:w="0" w:type="dxa"/>
        </w:tblCellMar>
      </w:tblPr>
      <w:tblGrid>
        <w:gridCol w:w="75"/>
        <w:gridCol w:w="110"/>
        <w:gridCol w:w="60"/>
        <w:gridCol w:w="81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must give the trustee written notice that an Event of Default has occurred and remains uncured;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at least 25% in principal amount of all the Notes must make a written request that the trustee take action because of the default and must offer the trustee indemnity, security, or both reasonably satisfactory to it against the cost and other liabilities of taking that action;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trustee must not have taken action for 60 days after receipt of the above notice and offer of indemnity and/or security;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 majority in principal amount of the Notes must not have given the trustee a direction inconsistent with the above notice during that 60-day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you are entitled at any time to bring a lawsuit for the payment of money due on your Notes on or after the due date.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and other indirect holders should consult their banks or brokers for information on how to give notice or direction to or make a request of the trustee and how to declare or cancel an acceleration of maturity. </w:t>
      </w:r>
    </w:p>
    <w:p>
      <w:pPr>
        <w:pStyle w:val="TextBody"/>
        <w:bidi w:val="0"/>
        <w:spacing w:before="120" w:after="0"/>
        <w:jc w:val="left"/>
        <w:rPr>
          <w:rFonts w:ascii="Times New Roman" w:hAnsi="Times New Roman"/>
          <w:sz w:val="20"/>
        </w:rPr>
      </w:pPr>
      <w:r>
        <w:rPr>
          <w:rFonts w:ascii="Times New Roman" w:hAnsi="Times New Roman"/>
          <w:sz w:val="20"/>
        </w:rPr>
        <w:t xml:space="preserve">Each year, we will furnish to the trustee a written statement of certain of our officers certifying that to their knowledge we are in compliance with the indenture and the Notes, or else specifying any default.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Waiver of Default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a majority in principal amount of the Notes may waive any past defaults other than a default: </w:t>
      </w:r>
    </w:p>
    <w:p>
      <w:pPr>
        <w:pStyle w:val="TextBody"/>
        <w:bidi w:val="0"/>
        <w:spacing w:before="0" w:after="0"/>
        <w:jc w:val="left"/>
        <w:rPr/>
      </w:pPr>
      <w:r>
        <w:rPr/>
        <w:t> </w:t>
      </w:r>
    </w:p>
    <w:tbl>
      <w:tblPr>
        <w:tblW w:w="5305" w:type="dxa"/>
        <w:jc w:val="left"/>
        <w:tblInd w:w="0" w:type="dxa"/>
        <w:tblLayout w:type="fixed"/>
        <w:tblCellMar>
          <w:top w:w="0" w:type="dxa"/>
          <w:left w:w="0" w:type="dxa"/>
          <w:bottom w:w="0" w:type="dxa"/>
          <w:right w:w="0" w:type="dxa"/>
        </w:tblCellMar>
      </w:tblPr>
      <w:tblGrid>
        <w:gridCol w:w="75"/>
        <w:gridCol w:w="110"/>
        <w:gridCol w:w="60"/>
        <w:gridCol w:w="50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the payment of principal (or premium, if any) or interest; or </w:t>
            </w:r>
          </w:p>
        </w:tc>
      </w:tr>
    </w:tbl>
    <w:p>
      <w:pPr>
        <w:pStyle w:val="TextBody"/>
        <w:bidi w:val="0"/>
        <w:spacing w:before="0" w:after="0"/>
        <w:jc w:val="left"/>
        <w:rPr/>
      </w:pPr>
      <w:r>
        <w:rPr/>
        <w:t> </w:t>
      </w:r>
    </w:p>
    <w:tbl>
      <w:tblPr>
        <w:tblW w:w="9130" w:type="dxa"/>
        <w:jc w:val="left"/>
        <w:tblInd w:w="0" w:type="dxa"/>
        <w:tblLayout w:type="fixed"/>
        <w:tblCellMar>
          <w:top w:w="0" w:type="dxa"/>
          <w:left w:w="0" w:type="dxa"/>
          <w:bottom w:w="0" w:type="dxa"/>
          <w:right w:w="0" w:type="dxa"/>
        </w:tblCellMar>
      </w:tblPr>
      <w:tblGrid>
        <w:gridCol w:w="75"/>
        <w:gridCol w:w="110"/>
        <w:gridCol w:w="60"/>
        <w:gridCol w:w="88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respect of a covenant that cannot be modified or amended without the consent of each holder of the Notes.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Merger, Consolidation or Asset Sale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indenture, we are generally permitted to consolidate or merge with another entity. We are also permitted to sell all or substantially all of our assets to another entity. However, we may not take any of these actions unless all the following conditions are met: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where we merge out of existence or convey or transfer all or substantially all of our assets, the resulting entity must agree to be legally responsible for our obligations under the Notes;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the transaction, no default or Event of Default shall have occurred and be continuing; and </w:t>
            </w:r>
          </w:p>
        </w:tc>
      </w:tr>
    </w:tbl>
    <w:p>
      <w:pPr>
        <w:pStyle w:val="TextBody"/>
        <w:bidi w:val="0"/>
        <w:spacing w:before="0" w:after="0"/>
        <w:jc w:val="left"/>
        <w:rPr/>
      </w:pPr>
      <w:r>
        <w:rPr/>
        <w:t> </w:t>
      </w:r>
    </w:p>
    <w:tbl>
      <w:tblPr>
        <w:tblW w:w="5545" w:type="dxa"/>
        <w:jc w:val="left"/>
        <w:tblInd w:w="0" w:type="dxa"/>
        <w:tblLayout w:type="fixed"/>
        <w:tblCellMar>
          <w:top w:w="0" w:type="dxa"/>
          <w:left w:w="0" w:type="dxa"/>
          <w:bottom w:w="0" w:type="dxa"/>
          <w:right w:w="0" w:type="dxa"/>
        </w:tblCellMar>
      </w:tblPr>
      <w:tblGrid>
        <w:gridCol w:w="75"/>
        <w:gridCol w:w="110"/>
        <w:gridCol w:w="60"/>
        <w:gridCol w:w="53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certain certificates and documents to the trustee.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 assumption by any person of obligations under the Notes and the indenture might be deemed for U.S. federal income tax purposes to be an exchange of the Notes for new Notes by the holders thereof, resulting in recognition of gain or loss for such purposes and possibly other adverse tax consequences to the holders. Holders should consult their own tax advisors regarding the tax consequences of such an assumption.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Modification or Waiver </w:t>
      </w:r>
    </w:p>
    <w:p>
      <w:pPr>
        <w:pStyle w:val="TextBody"/>
        <w:bidi w:val="0"/>
        <w:spacing w:before="120" w:after="0"/>
        <w:jc w:val="left"/>
        <w:rPr>
          <w:rFonts w:ascii="Times New Roman" w:hAnsi="Times New Roman"/>
          <w:sz w:val="20"/>
        </w:rPr>
      </w:pPr>
      <w:r>
        <w:rPr>
          <w:rFonts w:ascii="Times New Roman" w:hAnsi="Times New Roman"/>
          <w:sz w:val="20"/>
        </w:rPr>
        <w:t xml:space="preserve">There are three types of changes we can make to the indenture and the Notes issued thereunder.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Changes Requiring Your Approval </w:t>
      </w:r>
    </w:p>
    <w:p>
      <w:pPr>
        <w:pStyle w:val="TextBody"/>
        <w:bidi w:val="0"/>
        <w:spacing w:before="120" w:after="0"/>
        <w:jc w:val="left"/>
        <w:rPr>
          <w:rFonts w:ascii="Times New Roman" w:hAnsi="Times New Roman"/>
          <w:sz w:val="20"/>
        </w:rPr>
      </w:pPr>
      <w:r>
        <w:rPr>
          <w:rFonts w:ascii="Times New Roman" w:hAnsi="Times New Roman"/>
          <w:sz w:val="20"/>
        </w:rPr>
        <w:t xml:space="preserve">First, there are changes that we cannot make to your Notes without your specific approval. The following is a list of those types of changes: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 the stated maturity of the principal of (or premium, if any, on) or any installment of principal of or interest on the Notes; </w:t>
            </w:r>
          </w:p>
        </w:tc>
      </w:tr>
    </w:tbl>
    <w:p>
      <w:pPr>
        <w:pStyle w:val="TextBody"/>
        <w:bidi w:val="0"/>
        <w:spacing w:before="0" w:after="0"/>
        <w:jc w:val="left"/>
        <w:rPr/>
      </w:pPr>
      <w:r>
        <w:rPr/>
        <w:t> </w:t>
      </w:r>
    </w:p>
    <w:tbl>
      <w:tblPr>
        <w:tblW w:w="6775" w:type="dxa"/>
        <w:jc w:val="left"/>
        <w:tblInd w:w="0" w:type="dxa"/>
        <w:tblLayout w:type="fixed"/>
        <w:tblCellMar>
          <w:top w:w="0" w:type="dxa"/>
          <w:left w:w="0" w:type="dxa"/>
          <w:bottom w:w="0" w:type="dxa"/>
          <w:right w:w="0" w:type="dxa"/>
        </w:tblCellMar>
      </w:tblPr>
      <w:tblGrid>
        <w:gridCol w:w="75"/>
        <w:gridCol w:w="110"/>
        <w:gridCol w:w="60"/>
        <w:gridCol w:w="65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reduce any amounts due on the Notes or reduce the rate of interest on the Notes; </w:t>
            </w:r>
          </w:p>
        </w:tc>
      </w:tr>
    </w:tbl>
    <w:p>
      <w:pPr>
        <w:pStyle w:val="TextBody"/>
        <w:bidi w:val="0"/>
        <w:spacing w:before="0" w:after="0"/>
        <w:jc w:val="left"/>
        <w:rPr/>
      </w:pPr>
      <w:r>
        <w:rPr/>
        <w:t> </w:t>
      </w:r>
    </w:p>
    <w:tbl>
      <w:tblPr>
        <w:tblW w:w="8680" w:type="dxa"/>
        <w:jc w:val="left"/>
        <w:tblInd w:w="0" w:type="dxa"/>
        <w:tblLayout w:type="fixed"/>
        <w:tblCellMar>
          <w:top w:w="0" w:type="dxa"/>
          <w:left w:w="0" w:type="dxa"/>
          <w:bottom w:w="0" w:type="dxa"/>
          <w:right w:w="0" w:type="dxa"/>
        </w:tblCellMar>
      </w:tblPr>
      <w:tblGrid>
        <w:gridCol w:w="75"/>
        <w:gridCol w:w="110"/>
        <w:gridCol w:w="60"/>
        <w:gridCol w:w="84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reduce the amount of principal payable upon acceleration of the maturity of a Note following a default; </w:t>
            </w:r>
          </w:p>
        </w:tc>
      </w:tr>
    </w:tbl>
    <w:p>
      <w:pPr>
        <w:pStyle w:val="TextBody"/>
        <w:bidi w:val="0"/>
        <w:spacing w:before="0" w:after="0"/>
        <w:jc w:val="left"/>
        <w:rPr/>
      </w:pPr>
      <w:r>
        <w:rPr/>
        <w:t> </w:t>
      </w:r>
    </w:p>
    <w:tbl>
      <w:tblPr>
        <w:tblW w:w="4495" w:type="dxa"/>
        <w:jc w:val="left"/>
        <w:tblInd w:w="0" w:type="dxa"/>
        <w:tblLayout w:type="fixed"/>
        <w:tblCellMar>
          <w:top w:w="0" w:type="dxa"/>
          <w:left w:w="0" w:type="dxa"/>
          <w:bottom w:w="0" w:type="dxa"/>
          <w:right w:w="0" w:type="dxa"/>
        </w:tblCellMar>
      </w:tblPr>
      <w:tblGrid>
        <w:gridCol w:w="75"/>
        <w:gridCol w:w="110"/>
        <w:gridCol w:w="60"/>
        <w:gridCol w:w="42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 the place or currency of payment on a Note; </w:t>
            </w:r>
          </w:p>
        </w:tc>
      </w:tr>
    </w:tbl>
    <w:p>
      <w:pPr>
        <w:pStyle w:val="TextBody"/>
        <w:bidi w:val="0"/>
        <w:spacing w:before="0" w:after="0"/>
        <w:jc w:val="left"/>
        <w:rPr/>
      </w:pPr>
      <w:r>
        <w:rPr/>
        <w:t> </w:t>
      </w:r>
    </w:p>
    <w:tbl>
      <w:tblPr>
        <w:tblW w:w="3310" w:type="dxa"/>
        <w:jc w:val="left"/>
        <w:tblInd w:w="0" w:type="dxa"/>
        <w:tblLayout w:type="fixed"/>
        <w:tblCellMar>
          <w:top w:w="0" w:type="dxa"/>
          <w:left w:w="0" w:type="dxa"/>
          <w:bottom w:w="0" w:type="dxa"/>
          <w:right w:w="0" w:type="dxa"/>
        </w:tblCellMar>
      </w:tblPr>
      <w:tblGrid>
        <w:gridCol w:w="75"/>
        <w:gridCol w:w="110"/>
        <w:gridCol w:w="60"/>
        <w:gridCol w:w="30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impair your right to sue for payment; </w:t>
            </w:r>
          </w:p>
        </w:tc>
      </w:tr>
    </w:tbl>
    <w:p>
      <w:pPr>
        <w:pStyle w:val="TextBody"/>
        <w:bidi w:val="0"/>
        <w:spacing w:before="0" w:after="0"/>
        <w:jc w:val="left"/>
        <w:rPr/>
      </w:pPr>
      <w:r>
        <w:rPr/>
        <w:t> </w:t>
      </w:r>
    </w:p>
    <w:tbl>
      <w:tblPr>
        <w:tblW w:w="8875" w:type="dxa"/>
        <w:jc w:val="left"/>
        <w:tblInd w:w="0" w:type="dxa"/>
        <w:tblLayout w:type="fixed"/>
        <w:tblCellMar>
          <w:top w:w="0" w:type="dxa"/>
          <w:left w:w="0" w:type="dxa"/>
          <w:bottom w:w="0" w:type="dxa"/>
          <w:right w:w="0" w:type="dxa"/>
        </w:tblCellMar>
      </w:tblPr>
      <w:tblGrid>
        <w:gridCol w:w="75"/>
        <w:gridCol w:w="110"/>
        <w:gridCol w:w="60"/>
        <w:gridCol w:w="86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of holders of Notes whose consent is needed to modify or amend the indenture;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of holders of Notes whose consent is needed to waive compliance with certain provisions of the indenture or to waive certain defaults or reduce the percentage of holders of Notes required to satisfy quorum or voting requirements at a meeting of holders of the Notes. </w:t>
            </w:r>
          </w:p>
        </w:tc>
      </w:tr>
    </w:tbl>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Changes Not Requiring Approval </w:t>
      </w:r>
    </w:p>
    <w:p>
      <w:pPr>
        <w:pStyle w:val="TextBody"/>
        <w:bidi w:val="0"/>
        <w:spacing w:before="120" w:after="0"/>
        <w:jc w:val="left"/>
        <w:rPr>
          <w:rFonts w:ascii="Times New Roman" w:hAnsi="Times New Roman"/>
          <w:sz w:val="20"/>
        </w:rPr>
      </w:pPr>
      <w:r>
        <w:rPr>
          <w:rFonts w:ascii="Times New Roman" w:hAnsi="Times New Roman"/>
          <w:sz w:val="20"/>
        </w:rPr>
        <w:t xml:space="preserve">The second type of change does not require any vote by the holders of the Notes. This type is limited to clarifications and certain other changes that would not adversely affect holders of the Notes in any material respect.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Changes Requiring Majority Approval </w:t>
      </w:r>
    </w:p>
    <w:p>
      <w:pPr>
        <w:pStyle w:val="TextBody"/>
        <w:bidi w:val="0"/>
        <w:spacing w:before="120" w:after="0"/>
        <w:jc w:val="left"/>
        <w:rPr>
          <w:rFonts w:ascii="Times New Roman" w:hAnsi="Times New Roman"/>
          <w:sz w:val="20"/>
        </w:rPr>
      </w:pPr>
      <w:r>
        <w:rPr>
          <w:rFonts w:ascii="Times New Roman" w:hAnsi="Times New Roman"/>
          <w:sz w:val="20"/>
        </w:rPr>
        <w:t xml:space="preserve">Any other change to the indenture and the Notes would require the following approval: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change affects only the Notes, it must be approved by the holders of a majority in principal amount of the Notes;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change affects more than one series of debt securities issued under the same indenture, it must be approved by the holders of a majority in principal amount of all of the series affected by the change, with all affected series voting together as one class for this purpose.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each case, the required approval must be given by written consent. The holders of a majority in principal amount of all of the series of debt securities issued under an indenture, voting together as one class for this purpose, may waive our compliance with some of our covenants in that indenture. </w:t>
      </w:r>
    </w:p>
    <w:p>
      <w:pPr>
        <w:pStyle w:val="TextBody"/>
        <w:bidi w:val="0"/>
        <w:spacing w:before="240" w:after="0"/>
        <w:jc w:val="left"/>
        <w:rPr>
          <w:rFonts w:ascii="Times New Roman" w:hAnsi="Times New Roman"/>
          <w:sz w:val="20"/>
        </w:rPr>
      </w:pPr>
      <w:r>
        <w:rPr>
          <w:rFonts w:ascii="Times New Roman" w:hAnsi="Times New Roman"/>
          <w:sz w:val="20"/>
        </w:rPr>
        <w:t>However, we cannot obtain a waiver of a payment default or of any of the matters covered by the bullet points included above under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Changes Requiring Your Approval</w:t>
      </w:r>
    </w:p>
    <w:p>
      <w:pPr>
        <w:pStyle w:val="TextBody"/>
        <w:bidi w:val="0"/>
        <w:spacing w:before="240" w:after="0"/>
        <w:jc w:val="left"/>
        <w:rPr>
          <w:rFonts w:ascii="Times New Roman" w:hAnsi="Times New Roman"/>
          <w:sz w:val="20"/>
        </w:rPr>
      </w:pPr>
      <w:r>
        <w:rPr>
          <w:rFonts w:ascii="Times New Roman" w:hAnsi="Times New Roman"/>
          <w:sz w:val="20"/>
        </w:rPr>
        <w:t xml:space="preserve">.”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Further Details Concerning Voting </w:t>
      </w:r>
    </w:p>
    <w:p>
      <w:pPr>
        <w:pStyle w:val="TextBody"/>
        <w:bidi w:val="0"/>
        <w:spacing w:before="120" w:after="0"/>
        <w:jc w:val="left"/>
        <w:rPr>
          <w:rFonts w:ascii="Times New Roman" w:hAnsi="Times New Roman"/>
          <w:sz w:val="20"/>
        </w:rPr>
      </w:pPr>
      <w:r>
        <w:rPr>
          <w:rFonts w:ascii="Times New Roman" w:hAnsi="Times New Roman"/>
          <w:sz w:val="20"/>
        </w:rPr>
        <w:t xml:space="preserve">When taking a vote, we will use the following rules to decide how much principal to attribute to the Notes: </w:t>
      </w:r>
    </w:p>
    <w:p>
      <w:pPr>
        <w:pStyle w:val="TextBody"/>
        <w:bidi w:val="0"/>
        <w:spacing w:before="240" w:after="0"/>
        <w:jc w:val="left"/>
        <w:rPr>
          <w:rFonts w:ascii="Times New Roman" w:hAnsi="Times New Roman"/>
          <w:sz w:val="20"/>
        </w:rPr>
      </w:pPr>
      <w:r>
        <w:rPr>
          <w:rFonts w:ascii="Times New Roman" w:hAnsi="Times New Roman"/>
          <w:sz w:val="20"/>
        </w:rPr>
        <w:t>The Notes will not be considered outstanding, and therefore not eligible to vote, if we have deposited or set aside in trust money for their payment or redemption or if we or any affiliate of ours own any Notes. The Notes will also not be eligible to vote if they have been fully defeased as described later under “</w:t>
      </w:r>
    </w:p>
    <w:p>
      <w:pPr>
        <w:pStyle w:val="TextBody"/>
        <w:bidi w:val="0"/>
        <w:spacing w:before="240" w:after="0"/>
        <w:jc w:val="left"/>
        <w:rPr>
          <w:caps w:val="false"/>
          <w:smallCaps w:val="false"/>
          <w:spacing w:val="0"/>
        </w:rPr>
      </w:pPr>
      <w:r>
        <w:rPr>
          <w:caps w:val="false"/>
          <w:smallCaps w:val="false"/>
          <w:spacing w:val="0"/>
        </w:rPr>
        <w:t xml:space="preserve">— </w:t>
      </w:r>
      <w:r>
        <w:rPr>
          <w:rFonts w:ascii="Times New Roman" w:hAnsi="Times New Roman"/>
          <w:i/>
          <w:caps w:val="false"/>
          <w:smallCaps w:val="false"/>
          <w:spacing w:val="0"/>
          <w:sz w:val="20"/>
        </w:rPr>
        <w:t>Defeasance — Full Defeasance</w:t>
      </w:r>
    </w:p>
    <w:p>
      <w:pPr>
        <w:pStyle w:val="TextBody"/>
        <w:bidi w:val="0"/>
        <w:spacing w:before="240" w:after="0"/>
        <w:jc w:val="left"/>
        <w:rPr/>
      </w:pPr>
      <w:r>
        <w:rPr/>
        <w:t xml:space="preserve">” </w:t>
      </w:r>
      <w:r>
        <w:rPr>
          <w:rFonts w:ascii="Times New Roman" w:hAnsi="Times New Roman"/>
          <w:sz w:val="20"/>
        </w:rPr>
        <w:t xml:space="preserve">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will generally be entitled to set any day as a record date for the purpose of determining the holders of the Notes that are entitled to vote or take other action under the indenture. However, the record date may not be earlier than 30 days before the date of the first solicitation of holders to vote on or take such action and not later than the date such solicitation is completed. If we set a record date for a vote or other action to be taken by holders of the Notes, that vote or action may be taken only by persons who are holders of the Notes on the record date and must be taken within eleven months following the record date.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and other indirect holders should consult their banks or brokers for information on how approval may be granted or denied if we seek to change the indenture or the Notes or request a waiver. </w:t>
      </w:r>
    </w:p>
    <w:p>
      <w:pPr>
        <w:pStyle w:val="TextBody"/>
        <w:bidi w:val="0"/>
        <w:spacing w:before="120" w:after="0"/>
        <w:jc w:val="left"/>
        <w:rPr>
          <w:rFonts w:ascii="Times New Roman" w:hAnsi="Times New Roman"/>
          <w:b/>
          <w:sz w:val="20"/>
        </w:rPr>
      </w:pPr>
      <w:r>
        <w:rPr>
          <w:rFonts w:ascii="Times New Roman" w:hAnsi="Times New Roman"/>
          <w:b/>
          <w:sz w:val="20"/>
        </w:rPr>
        <w:t xml:space="preserve">Satisfaction and Discharge </w:t>
      </w:r>
    </w:p>
    <w:p>
      <w:pPr>
        <w:pStyle w:val="TextBody"/>
        <w:bidi w:val="0"/>
        <w:spacing w:before="120" w:after="0"/>
        <w:jc w:val="left"/>
        <w:rPr>
          <w:rFonts w:ascii="Times New Roman" w:hAnsi="Times New Roman"/>
          <w:sz w:val="20"/>
        </w:rPr>
      </w:pPr>
      <w:r>
        <w:rPr>
          <w:rFonts w:ascii="Times New Roman" w:hAnsi="Times New Roman"/>
          <w:sz w:val="20"/>
        </w:rPr>
        <w:t xml:space="preserve">The indenture will be discharged and will cease to be of further effect with respect to the Notes when: </w:t>
      </w:r>
    </w:p>
    <w:p>
      <w:pPr>
        <w:pStyle w:val="TextBody"/>
        <w:bidi w:val="0"/>
        <w:spacing w:before="0" w:after="0"/>
        <w:jc w:val="left"/>
        <w:rPr/>
      </w:pPr>
      <w:r>
        <w:rPr/>
        <w:t> </w:t>
      </w:r>
    </w:p>
    <w:tbl>
      <w:tblPr>
        <w:tblW w:w="820" w:type="dxa"/>
        <w:jc w:val="left"/>
        <w:tblInd w:w="0" w:type="dxa"/>
        <w:tblLayout w:type="fixed"/>
        <w:tblCellMar>
          <w:top w:w="0" w:type="dxa"/>
          <w:left w:w="0" w:type="dxa"/>
          <w:bottom w:w="0" w:type="dxa"/>
          <w:right w:w="0" w:type="dxa"/>
        </w:tblCellMar>
      </w:tblPr>
      <w:tblGrid>
        <w:gridCol w:w="75"/>
        <w:gridCol w:w="110"/>
        <w:gridCol w:w="60"/>
        <w:gridCol w:w="5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Either </w:t>
            </w:r>
          </w:p>
        </w:tc>
      </w:tr>
    </w:tbl>
    <w:p>
      <w:pPr>
        <w:pStyle w:val="TextBody"/>
        <w:bidi w:val="0"/>
        <w:spacing w:before="0" w:after="0"/>
        <w:jc w:val="left"/>
        <w:rPr/>
      </w:pPr>
      <w:r>
        <w:rPr/>
        <w:t> </w:t>
      </w:r>
    </w:p>
    <w:tbl>
      <w:tblPr>
        <w:tblW w:w="8095" w:type="dxa"/>
        <w:jc w:val="left"/>
        <w:tblInd w:w="0" w:type="dxa"/>
        <w:tblLayout w:type="fixed"/>
        <w:tblCellMar>
          <w:top w:w="0" w:type="dxa"/>
          <w:left w:w="0" w:type="dxa"/>
          <w:bottom w:w="0" w:type="dxa"/>
          <w:right w:w="0" w:type="dxa"/>
        </w:tblCellMar>
      </w:tblPr>
      <w:tblGrid>
        <w:gridCol w:w="75"/>
        <w:gridCol w:w="110"/>
        <w:gridCol w:w="60"/>
        <w:gridCol w:w="78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the Notes that have been authenticated have been delivered to the trustee for cancellation; or </w:t>
            </w:r>
          </w:p>
        </w:tc>
      </w:tr>
    </w:tbl>
    <w:p>
      <w:pPr>
        <w:pStyle w:val="TextBody"/>
        <w:bidi w:val="0"/>
        <w:spacing w:before="0" w:after="0"/>
        <w:jc w:val="left"/>
        <w:rPr/>
      </w:pPr>
      <w:r>
        <w:rPr/>
        <w:t> </w:t>
      </w:r>
    </w:p>
    <w:tbl>
      <w:tblPr>
        <w:tblW w:w="6175" w:type="dxa"/>
        <w:jc w:val="left"/>
        <w:tblInd w:w="0" w:type="dxa"/>
        <w:tblLayout w:type="fixed"/>
        <w:tblCellMar>
          <w:top w:w="0" w:type="dxa"/>
          <w:left w:w="0" w:type="dxa"/>
          <w:bottom w:w="0" w:type="dxa"/>
          <w:right w:w="0" w:type="dxa"/>
        </w:tblCellMar>
      </w:tblPr>
      <w:tblGrid>
        <w:gridCol w:w="75"/>
        <w:gridCol w:w="110"/>
        <w:gridCol w:w="60"/>
        <w:gridCol w:w="59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the Notes that have not been delivered to the trustee for cancellation: </w:t>
            </w:r>
          </w:p>
        </w:tc>
      </w:tr>
    </w:tbl>
    <w:p>
      <w:pPr>
        <w:pStyle w:val="TextBody"/>
        <w:bidi w:val="0"/>
        <w:spacing w:before="0" w:after="0"/>
        <w:jc w:val="left"/>
        <w:rPr/>
      </w:pPr>
      <w:r>
        <w:rPr/>
        <w:t> </w:t>
      </w:r>
    </w:p>
    <w:tbl>
      <w:tblPr>
        <w:tblW w:w="3025" w:type="dxa"/>
        <w:jc w:val="left"/>
        <w:tblInd w:w="0" w:type="dxa"/>
        <w:tblLayout w:type="fixed"/>
        <w:tblCellMar>
          <w:top w:w="0" w:type="dxa"/>
          <w:left w:w="0" w:type="dxa"/>
          <w:bottom w:w="0" w:type="dxa"/>
          <w:right w:w="0" w:type="dxa"/>
        </w:tblCellMar>
      </w:tblPr>
      <w:tblGrid>
        <w:gridCol w:w="75"/>
        <w:gridCol w:w="110"/>
        <w:gridCol w:w="60"/>
        <w:gridCol w:w="27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have become due and payable, or </w:t>
            </w:r>
          </w:p>
        </w:tc>
      </w:tr>
    </w:tbl>
    <w:p>
      <w:pPr>
        <w:pStyle w:val="TextBody"/>
        <w:bidi w:val="0"/>
        <w:spacing w:before="0" w:after="0"/>
        <w:jc w:val="left"/>
        <w:rPr/>
      </w:pPr>
      <w:r>
        <w:rPr/>
        <w:t> </w:t>
      </w:r>
    </w:p>
    <w:tbl>
      <w:tblPr>
        <w:tblW w:w="6130" w:type="dxa"/>
        <w:jc w:val="left"/>
        <w:tblInd w:w="0" w:type="dxa"/>
        <w:tblLayout w:type="fixed"/>
        <w:tblCellMar>
          <w:top w:w="0" w:type="dxa"/>
          <w:left w:w="0" w:type="dxa"/>
          <w:bottom w:w="0" w:type="dxa"/>
          <w:right w:w="0" w:type="dxa"/>
        </w:tblCellMar>
      </w:tblPr>
      <w:tblGrid>
        <w:gridCol w:w="75"/>
        <w:gridCol w:w="110"/>
        <w:gridCol w:w="60"/>
        <w:gridCol w:w="58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will become due and payable at their stated maturity within one year, or </w:t>
            </w:r>
          </w:p>
        </w:tc>
      </w:tr>
    </w:tbl>
    <w:p>
      <w:pPr>
        <w:pStyle w:val="TextBody"/>
        <w:bidi w:val="0"/>
        <w:spacing w:before="0" w:after="0"/>
        <w:jc w:val="left"/>
        <w:rPr/>
      </w:pPr>
      <w:r>
        <w:rPr/>
        <w:t> </w:t>
      </w:r>
    </w:p>
    <w:tbl>
      <w:tblPr>
        <w:tblW w:w="4150" w:type="dxa"/>
        <w:jc w:val="left"/>
        <w:tblInd w:w="0" w:type="dxa"/>
        <w:tblLayout w:type="fixed"/>
        <w:tblCellMar>
          <w:top w:w="0" w:type="dxa"/>
          <w:left w:w="0" w:type="dxa"/>
          <w:bottom w:w="0" w:type="dxa"/>
          <w:right w:w="0" w:type="dxa"/>
        </w:tblCellMar>
      </w:tblPr>
      <w:tblGrid>
        <w:gridCol w:w="75"/>
        <w:gridCol w:w="110"/>
        <w:gridCol w:w="60"/>
        <w:gridCol w:w="39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are to be called for redemption within one year,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and we, in the case of the first, second and third sub-bullets above, have irrevocably deposited or caused to be deposited with the trustee, as trust, funds in trust solely for the benefit of the holders of the Notes, in amounts as will be sufficient, to pay and discharge the entire indebtedness (including all principal, premium, if any, and interest) on such Notes not previously delivered to the trustee for cancellation (in the case of Notes that have become due and payable on or prior to the date of such deposit) or to the stated maturity or redemption date, as the case may be; </w:t>
      </w:r>
    </w:p>
    <w:p>
      <w:pPr>
        <w:pStyle w:val="TextBody"/>
        <w:bidi w:val="0"/>
        <w:spacing w:before="0" w:after="0"/>
        <w:jc w:val="left"/>
        <w:rPr/>
      </w:pPr>
      <w:r>
        <w:rPr/>
        <w:t> </w:t>
      </w:r>
    </w:p>
    <w:tbl>
      <w:tblPr>
        <w:tblW w:w="9475" w:type="dxa"/>
        <w:jc w:val="left"/>
        <w:tblInd w:w="0" w:type="dxa"/>
        <w:tblLayout w:type="fixed"/>
        <w:tblCellMar>
          <w:top w:w="0" w:type="dxa"/>
          <w:left w:w="0" w:type="dxa"/>
          <w:bottom w:w="0" w:type="dxa"/>
          <w:right w:w="0" w:type="dxa"/>
        </w:tblCellMar>
      </w:tblPr>
      <w:tblGrid>
        <w:gridCol w:w="75"/>
        <w:gridCol w:w="110"/>
        <w:gridCol w:w="60"/>
        <w:gridCol w:w="92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have paid or caused to be paid all other sums payable by us under the indenture with respect to the Notes;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have delivered to the trustee an officers’ certificate and legal opinion, each stating that all conditions precedent provided for in the indenture relating to the satisfaction and discharge of the indenture and the Notes have been complied with.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Defeasance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provisions will be applicable to the Notes. “Defeasance” means that, by depositing with a trustee an amount of cash and/or government securities sufficient to pay all principal and interest, if any, on the Notes when due and satisfying any additional conditions noted below, we will be deemed to have been discharged from our obligations under the Notes. In the event of a “covenant defeasance,” upon depositing such funds and satisfying similar conditions discussed below we would be released from certain covenants under the indenture relating to the Notes.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Covenant Defeasance </w:t>
      </w:r>
    </w:p>
    <w:p>
      <w:pPr>
        <w:pStyle w:val="TextBody"/>
        <w:bidi w:val="0"/>
        <w:spacing w:before="120" w:after="0"/>
        <w:jc w:val="left"/>
        <w:rPr>
          <w:rFonts w:ascii="Times New Roman" w:hAnsi="Times New Roman"/>
          <w:sz w:val="20"/>
        </w:rPr>
      </w:pPr>
      <w:r>
        <w:rPr>
          <w:rFonts w:ascii="Times New Roman" w:hAnsi="Times New Roman"/>
          <w:sz w:val="20"/>
        </w:rPr>
        <w:t xml:space="preserve">Under current U.S. federal income tax law and the indenture, we can make the deposit described below and be released from some of the restrictive covenants in the indenture under which the Notes were issued. This is called “covenant defeasance.” In that event, you would lose the protection of those restrictive covenants but would gain the protection of having money and government securities set aside in trust to repay your Notes. In order to achieve covenant defeasance, the following must occur: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Since the Notes are denominated in U.S. dollars, we must deposit in trust for the benefit of all holders of the Notes a combination of cash and U.S. government or U.S. government agency notes or bonds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p>
    <w:p>
      <w:pPr>
        <w:pStyle w:val="HorizontalLine"/>
        <w:pBdr>
          <w:bottom w:val="double" w:sz="2" w:space="0" w:color="808080"/>
        </w:pBdr>
        <w:bidi w:val="0"/>
        <w:spacing w:before="0" w:after="283"/>
        <w:jc w:val="left"/>
        <w:rPr/>
      </w:pPr>
      <w:r>
        <w:rPr/>
      </w:r>
    </w:p>
    <w:tbl>
      <w:tblPr>
        <w:tblW w:w="10025" w:type="dxa"/>
        <w:jc w:val="left"/>
        <w:tblInd w:w="0" w:type="dxa"/>
        <w:tblLayout w:type="fixed"/>
        <w:tblCellMar>
          <w:top w:w="0" w:type="dxa"/>
          <w:left w:w="0" w:type="dxa"/>
          <w:bottom w:w="0" w:type="dxa"/>
          <w:right w:w="0" w:type="dxa"/>
        </w:tblCellMar>
      </w:tblPr>
      <w:tblGrid>
        <w:gridCol w:w="75"/>
        <w:gridCol w:w="9950"/>
      </w:tblGrid>
      <w:tr>
        <w:trPr/>
        <w:tc>
          <w:tcPr>
            <w:tcW w:w="75" w:type="dxa"/>
            <w:tcBorders/>
            <w:vAlign w:val="center"/>
          </w:tcPr>
          <w:p>
            <w:pPr>
              <w:pStyle w:val="TableContents"/>
              <w:bidi w:val="0"/>
              <w:spacing w:before="0" w:after="283"/>
              <w:jc w:val="left"/>
              <w:rPr/>
            </w:pPr>
            <w:r>
              <w:rPr/>
              <w:t> </w:t>
            </w:r>
          </w:p>
        </w:tc>
        <w:tc>
          <w:tcPr>
            <w:tcW w:w="9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that will generate enough cash to make interest, principal and any other payments on the Notes on their various due 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to the trustee a legal opinion of our counsel confirming that, under current U.S. federal income tax law, we may make the above deposit without causing you to be taxed on the Notes any differently than if we did not make the deposit;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to the trustee a legal opinion of our counsel stating that the above deposit does not require registration by us under the 1940 Act, and a legal opinion and officers’ certificate stating that all conditions precedent to covenant defeasance have been complied with;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Defeasance must not result in a breach or violation of, or result in a default under, the indenture or any of our other material agreements or instruments;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default or Event of Default with respect to the Notes shall have occurred and be continuing and no defaults or events of default related to bankruptcy, insolvency or reorganization shall occur during the next 90 days.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accomplish covenant defeasance, you can still look to us for repayment of the Notes if there were a shortfall in the trust deposit or the trustee is prevented from making payment. In fact, if one of the remaining Events of Default occurred (such as our bankruptcy) and the Notes became immediately due and payable, there might be a shortfall. Depending on the event causing the default, you may not be able to obtain payment of the shortfall.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Full Defeasance </w:t>
      </w:r>
    </w:p>
    <w:p>
      <w:pPr>
        <w:pStyle w:val="TextBody"/>
        <w:bidi w:val="0"/>
        <w:spacing w:before="120" w:after="0"/>
        <w:jc w:val="left"/>
        <w:rPr>
          <w:rFonts w:ascii="Times New Roman" w:hAnsi="Times New Roman"/>
          <w:sz w:val="20"/>
        </w:rPr>
      </w:pPr>
      <w:r>
        <w:rPr>
          <w:rFonts w:ascii="Times New Roman" w:hAnsi="Times New Roman"/>
          <w:sz w:val="20"/>
        </w:rPr>
        <w:t xml:space="preserve">The Notes are subject to full defeasance. Full defeasance means that we can legally release ourselves from all payment and other obligations on the Notes, subject to the satisfaction of certain conditions, including, but not limited to that (a) we have received from, or there has been published by, the Internal Revenue Service (the “IRS”) a ruling, or (b) there is a change in U.S. federal income tax law, in either case to the effect that the holders of the Notes and any coupons appertaining thereto will not recognize income, gain or loss for U.S. federal income tax purposes as a result of such defeasance and will be subject to U.S. federal income tax on the same amounts, in the same manner and at the same times as would have been the case if such defeasance had not occurred (called “full defeasance”), and that we put in place the following other arrangements for you to be repaid: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Since the Notes are denominated in U.S. dollars, we must deposit in trust for the benefit of all holders of the Notes a combination of cash and U.S. government or U.S. government agency notes or bonds that will generate enough cash to make interest, principal and any other payments on the Notes on their various due 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to the trustee a legal opinion confirming that there has been a change in current U.S. federal tax law or an IRS ruling that allows us to make the above deposit without causing you to be taxed on the Notes any differently than if we did not make the deposit;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to the trustee a legal opinion of our counsel stating that the above deposit does not require registration by us under the 1940 Act, and a legal opinion and officers’ certificate stating that all conditions precedent to defeasance have been complied with;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Defeasance must not result in a breach or violation of, or constitute a default under, the indenture or any of our other material agreements or instruments;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default or Event of Default with respect to the Notes shall have occurred and be continuing and no defaults or events of default related to bankruptcy, insolvency or reorganization shall occur during the next 90 days.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we ever did accomplish full defeasance, as described above, you would have to rely solely on the trust deposit for repayment of the Notes. You could not look to us for repayment in the unlikely event of any shortfall. Conversely, the trust deposit would most likely be protected from claims of our lenders and other creditors if we ever became bankrupt or insolvent. </w:t>
      </w:r>
    </w:p>
    <w:p>
      <w:pPr>
        <w:pStyle w:val="TextBody"/>
        <w:bidi w:val="0"/>
        <w:spacing w:before="360" w:after="0"/>
        <w:jc w:val="left"/>
        <w:rPr>
          <w:rFonts w:ascii="Times New Roman" w:hAnsi="Times New Roman"/>
          <w:b/>
          <w:sz w:val="20"/>
        </w:rPr>
      </w:pPr>
      <w:r>
        <w:rPr>
          <w:rFonts w:ascii="Times New Roman" w:hAnsi="Times New Roman"/>
          <w:b/>
          <w:sz w:val="20"/>
        </w:rPr>
        <w:t xml:space="preserve">Other Covenants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any other covenants described in this prospectus supplement and the accompanying prospectus, as well as standard covenants relating to payment of principal and interest, maintaining an office where payments may be made or securities can be surrendered for payment and related matters, the following covenants will apply to the Notes: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agree that for the period of time during which the Notes are outstanding, we will not violate Section 18(a)(1)(A) as modified by Section 61(a)(2) of the 1940 Act or any successor provisions, whether or not we continue to be subject to such provisions of the 1940 Act, but giving effect, in either case, to any exemptive relief granted to us by the SEC. Currently, these provisions generally prohibit us from incurring additional indebtedness, including through the issuance of additional debt securities, unless our asset coverage, as defined in the 1940 Act, equals at least 150% after such incurrence or issuance.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agree that, for the period of time during which the Notes are outstanding, we will not violate Section 18(a)(1)(B) as modified by (i) Section 61(a)(2) of the 1940 Act or any successor provisions and after giving effect to any exemptive relief granted to us by the SEC and (ii) the two other exceptions set forth below. These statutory provisions of the 1940 Act are not currently applicable to us and will not be applicable to us as a result of this offering. However, if Section 18(a)(1)(B) as modified by Section 61(a)(2) of the 1940 Act were currently applicable to us in connection with this offering, these provisions would generally prohibit us from declaring any cash dividend or distribution upon any class of our capital stock, or purchasing any such capital stock if our asset coverage, as defined in the 1940 Act, were below 150% at the time of the declaration of the dividend or distribution or the purchase and after deducting the amount of such dividend, distribution, or purchase. Under the covenant, we will be permitted to declare a cash dividend or distribution notwithstanding the prohibition contained in Section 18(a)(1)(B) as modified by Section 61(a)(2) of the 1940 Act or any successor provisions, but only up to such amount as is necessary for us to maintain our status as a RIC under subchapter M of the Code. Furthermore, the covenant will not be triggered unless and until such time as our asset coverage has not been in compliance with the minimum asset coverage required by Section 18(a)(1)(B) as modified by Section 61(a)(2) of the 1940 Act or any successor provisions (after giving effect to any exemptive relief granted to us by the SEC) for more than six consecutive months.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at any time, we are not subject to the reporting requirements of Sections 13 or 15(d) of the Exchange Act to file any periodic reports with the SEC, we agree to furnish to holders of the Notes and the trustee, for the period of time during which the Notes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applicable GAAP.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Form, Exchange and Transfer of Certificated Registered Securities </w:t>
      </w:r>
    </w:p>
    <w:p>
      <w:pPr>
        <w:pStyle w:val="TextBody"/>
        <w:bidi w:val="0"/>
        <w:spacing w:before="120" w:after="0"/>
        <w:jc w:val="left"/>
        <w:rPr>
          <w:rFonts w:ascii="Times New Roman" w:hAnsi="Times New Roman"/>
          <w:sz w:val="20"/>
        </w:rPr>
      </w:pPr>
      <w:r>
        <w:rPr>
          <w:rFonts w:ascii="Times New Roman" w:hAnsi="Times New Roman"/>
          <w:sz w:val="20"/>
        </w:rPr>
        <w:t xml:space="preserve">If registered Notes cease to be issued in book-entry form, they will be issued: </w:t>
      </w:r>
    </w:p>
    <w:p>
      <w:pPr>
        <w:pStyle w:val="TextBody"/>
        <w:bidi w:val="0"/>
        <w:spacing w:before="0" w:after="0"/>
        <w:jc w:val="left"/>
        <w:rPr/>
      </w:pPr>
      <w:r>
        <w:rPr/>
        <w:t> </w:t>
      </w:r>
    </w:p>
    <w:tbl>
      <w:tblPr>
        <w:tblW w:w="3625" w:type="dxa"/>
        <w:jc w:val="left"/>
        <w:tblInd w:w="0" w:type="dxa"/>
        <w:tblLayout w:type="fixed"/>
        <w:tblCellMar>
          <w:top w:w="0" w:type="dxa"/>
          <w:left w:w="0" w:type="dxa"/>
          <w:bottom w:w="0" w:type="dxa"/>
          <w:right w:w="0" w:type="dxa"/>
        </w:tblCellMar>
      </w:tblPr>
      <w:tblGrid>
        <w:gridCol w:w="75"/>
        <w:gridCol w:w="110"/>
        <w:gridCol w:w="60"/>
        <w:gridCol w:w="33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only in fully registered certificated form; </w:t>
            </w:r>
          </w:p>
        </w:tc>
      </w:tr>
    </w:tbl>
    <w:p>
      <w:pPr>
        <w:pStyle w:val="TextBody"/>
        <w:bidi w:val="0"/>
        <w:spacing w:before="0" w:after="0"/>
        <w:jc w:val="left"/>
        <w:rPr/>
      </w:pPr>
      <w:r>
        <w:rPr/>
        <w:t> </w:t>
      </w:r>
    </w:p>
    <w:tbl>
      <w:tblPr>
        <w:tblW w:w="2740" w:type="dxa"/>
        <w:jc w:val="left"/>
        <w:tblInd w:w="0" w:type="dxa"/>
        <w:tblLayout w:type="fixed"/>
        <w:tblCellMar>
          <w:top w:w="0" w:type="dxa"/>
          <w:left w:w="0" w:type="dxa"/>
          <w:bottom w:w="0" w:type="dxa"/>
          <w:right w:w="0" w:type="dxa"/>
        </w:tblCellMar>
      </w:tblPr>
      <w:tblGrid>
        <w:gridCol w:w="75"/>
        <w:gridCol w:w="110"/>
        <w:gridCol w:w="60"/>
        <w:gridCol w:w="24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without interest coupons;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unless we indicate otherwise, in minimum denominations of $2,000 and amounts that are multiples of $1,000 in excess thereof.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Holders may exchange their certificated securities for Notes of smaller denominations or combined into fewer Notes of larger denominations, as long as the total principal amount is not changed and as long as the denomination is equal to or greater than $2,000. </w:t>
      </w:r>
    </w:p>
    <w:p>
      <w:pPr>
        <w:pStyle w:val="TextBody"/>
        <w:bidi w:val="0"/>
        <w:spacing w:before="240" w:after="0"/>
        <w:jc w:val="left"/>
        <w:rPr>
          <w:rFonts w:ascii="Times New Roman" w:hAnsi="Times New Roman"/>
          <w:sz w:val="20"/>
        </w:rPr>
      </w:pPr>
      <w:r>
        <w:rPr>
          <w:rFonts w:ascii="Times New Roman" w:hAnsi="Times New Roman"/>
          <w:sz w:val="20"/>
        </w:rPr>
        <w:t xml:space="preserve">Holders may exchange or transfer their certificated securities at the office of the trustee. We have appointed the trustee to act as our agent for registering Notes in the names of holders transferring Notes. We may appoint another entity to perform these functions or perform them ourselves. </w:t>
      </w:r>
    </w:p>
    <w:p>
      <w:pPr>
        <w:pStyle w:val="TextBody"/>
        <w:bidi w:val="0"/>
        <w:spacing w:before="240" w:after="0"/>
        <w:jc w:val="left"/>
        <w:rPr>
          <w:rFonts w:ascii="Times New Roman" w:hAnsi="Times New Roman"/>
          <w:sz w:val="20"/>
        </w:rPr>
      </w:pPr>
      <w:r>
        <w:rPr>
          <w:rFonts w:ascii="Times New Roman" w:hAnsi="Times New Roman"/>
          <w:sz w:val="20"/>
        </w:rPr>
        <w:t xml:space="preserve">Holders will not be required to pay a service charge to transfer or exchange their certificated securities, but they may be required to pay any tax (including a withholding tax) or other governmental charge associated with the transfer or exchange. The transfer or exchange will be made only if our transfer agent is satisfied with the holder’s proof of legal ownership. </w:t>
      </w:r>
    </w:p>
    <w:p>
      <w:pPr>
        <w:pStyle w:val="TextBody"/>
        <w:bidi w:val="0"/>
        <w:spacing w:before="240" w:after="0"/>
        <w:jc w:val="left"/>
        <w:rPr>
          <w:rFonts w:ascii="Times New Roman" w:hAnsi="Times New Roman"/>
          <w:sz w:val="20"/>
        </w:rPr>
      </w:pPr>
      <w:r>
        <w:rPr>
          <w:rFonts w:ascii="Times New Roman" w:hAnsi="Times New Roman"/>
          <w:sz w:val="20"/>
        </w:rPr>
        <w:t xml:space="preserve">We may appoint additional transfer agents or cancel the appointment of any particular transfer agent. We may also approve a change in the office through which any transfer agent acts. </w:t>
      </w:r>
    </w:p>
    <w:p>
      <w:pPr>
        <w:pStyle w:val="TextBody"/>
        <w:bidi w:val="0"/>
        <w:spacing w:before="240" w:after="0"/>
        <w:jc w:val="left"/>
        <w:rPr>
          <w:rFonts w:ascii="Times New Roman" w:hAnsi="Times New Roman"/>
          <w:sz w:val="20"/>
        </w:rPr>
      </w:pPr>
      <w:r>
        <w:rPr>
          <w:rFonts w:ascii="Times New Roman" w:hAnsi="Times New Roman"/>
          <w:sz w:val="20"/>
        </w:rPr>
        <w:t xml:space="preserve">If any certificated securities of a particular series are redeemable and we redeem less than all the Notes, we may block the transfer or exchange of those Notes selected for redemption during the period beginning 15 days before the day we mail the notice of redemption and ending on the day of that mailing, in order to freeze the list of holders to prepare the mailing. We may also refuse to register transfers or exchanges of any certificated Notes selected for redemption, except that we will continue to permit transfers and exchanges of the unredeemed portion of any Note that will be partially redeemed. </w:t>
      </w:r>
    </w:p>
    <w:p>
      <w:pPr>
        <w:pStyle w:val="TextBody"/>
        <w:bidi w:val="0"/>
        <w:spacing w:before="240" w:after="0"/>
        <w:jc w:val="left"/>
        <w:rPr>
          <w:rFonts w:ascii="Times New Roman" w:hAnsi="Times New Roman"/>
          <w:sz w:val="20"/>
        </w:rPr>
      </w:pPr>
      <w:r>
        <w:rPr>
          <w:rFonts w:ascii="Times New Roman" w:hAnsi="Times New Roman"/>
          <w:sz w:val="20"/>
        </w:rPr>
        <w:t xml:space="preserve">If registered Notes are issued in book-entry form, only the depositary will be entitled to transfer and exchange the Notes as described in this subsection, since it will be the sole holder of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Resignation of 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may resign or be removed with respect to the Notes provided that a successor trustee is appointed to act with respect to the Notes. In the event that two or more persons are acting as trustee with respect to different series of indenture securities under the indenture, each of the trustees will be a trustee of a trust separate and apart from the trust administered by any other trustee.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Notes will be governed by and construed in accordance with the laws of the State of New York. </w:t>
      </w:r>
    </w:p>
    <w:p>
      <w:pPr>
        <w:pStyle w:val="TextBody"/>
        <w:bidi w:val="0"/>
        <w:spacing w:before="360" w:after="0"/>
        <w:jc w:val="left"/>
        <w:rPr>
          <w:rFonts w:ascii="Times New Roman" w:hAnsi="Times New Roman"/>
          <w:b/>
          <w:sz w:val="20"/>
        </w:rPr>
      </w:pPr>
      <w:r>
        <w:rPr>
          <w:rFonts w:ascii="Times New Roman" w:hAnsi="Times New Roman"/>
          <w:b/>
          <w:sz w:val="20"/>
        </w:rPr>
        <w:t xml:space="preserve">Indenture Provisions — Ranking </w:t>
      </w:r>
    </w:p>
    <w:p>
      <w:pPr>
        <w:pStyle w:val="TextBody"/>
        <w:bidi w:val="0"/>
        <w:spacing w:before="120" w:after="0"/>
        <w:jc w:val="left"/>
        <w:rPr>
          <w:rFonts w:ascii="Times New Roman" w:hAnsi="Times New Roman"/>
          <w:sz w:val="20"/>
        </w:rPr>
      </w:pPr>
      <w:r>
        <w:rPr>
          <w:rFonts w:ascii="Times New Roman" w:hAnsi="Times New Roman"/>
          <w:sz w:val="20"/>
        </w:rPr>
        <w:t xml:space="preserve">The Notes are our direct unsecured obligations and rank: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pari passu</w:t>
            </w:r>
          </w:p>
          <w:p>
            <w:pPr>
              <w:pStyle w:val="TableContents"/>
              <w:bidi w:val="0"/>
              <w:spacing w:before="0" w:after="0"/>
              <w:jc w:val="left"/>
              <w:rPr>
                <w:rFonts w:ascii="Times New Roman" w:hAnsi="Times New Roman"/>
                <w:sz w:val="20"/>
              </w:rPr>
            </w:pPr>
            <w:r>
              <w:rPr>
                <w:rFonts w:ascii="Times New Roman" w:hAnsi="Times New Roman"/>
                <w:sz w:val="20"/>
              </w:rPr>
              <w:t xml:space="preserve">with our existing and future unsecured, unsubordinated indebtedness, including the January 2026 Notes and the November 2026 Notes; </w:t>
            </w:r>
          </w:p>
        </w:tc>
      </w:tr>
    </w:tbl>
    <w:p>
      <w:pPr>
        <w:pStyle w:val="TextBody"/>
        <w:bidi w:val="0"/>
        <w:spacing w:before="0" w:after="0"/>
        <w:jc w:val="left"/>
        <w:rPr/>
      </w:pPr>
      <w:r>
        <w:rPr/>
        <w:t> </w:t>
      </w:r>
    </w:p>
    <w:tbl>
      <w:tblPr>
        <w:tblW w:w="5890" w:type="dxa"/>
        <w:jc w:val="left"/>
        <w:tblInd w:w="0" w:type="dxa"/>
        <w:tblLayout w:type="fixed"/>
        <w:tblCellMar>
          <w:top w:w="0" w:type="dxa"/>
          <w:left w:w="0" w:type="dxa"/>
          <w:bottom w:w="0" w:type="dxa"/>
          <w:right w:w="0" w:type="dxa"/>
        </w:tblCellMar>
      </w:tblPr>
      <w:tblGrid>
        <w:gridCol w:w="75"/>
        <w:gridCol w:w="110"/>
        <w:gridCol w:w="60"/>
        <w:gridCol w:w="56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senior to any series of preferred stock that we may issue in the future; </w:t>
            </w:r>
          </w:p>
        </w:tc>
      </w:tr>
    </w:tbl>
    <w:p>
      <w:pPr>
        <w:pStyle w:val="TextBody"/>
        <w:bidi w:val="0"/>
        <w:spacing w:before="0" w:after="0"/>
        <w:jc w:val="left"/>
        <w:rPr/>
      </w:pPr>
      <w:r>
        <w:rPr/>
        <w:t> </w:t>
      </w:r>
    </w:p>
    <w:tbl>
      <w:tblPr>
        <w:tblW w:w="7990" w:type="dxa"/>
        <w:jc w:val="left"/>
        <w:tblInd w:w="0" w:type="dxa"/>
        <w:tblLayout w:type="fixed"/>
        <w:tblCellMar>
          <w:top w:w="0" w:type="dxa"/>
          <w:left w:w="0" w:type="dxa"/>
          <w:bottom w:w="0" w:type="dxa"/>
          <w:right w:w="0" w:type="dxa"/>
        </w:tblCellMar>
      </w:tblPr>
      <w:tblGrid>
        <w:gridCol w:w="75"/>
        <w:gridCol w:w="110"/>
        <w:gridCol w:w="60"/>
        <w:gridCol w:w="77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senior to any of our future indebtedness that expressly provides it is subordinated to the Notes;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effectively subordinated to all our existing and future secured indebtedness (including indebtedness that is initially unsecured to which we subsequently grant security), to the extent of the value of the assets securing such indebtedness, including, without limitation, borrowings under the Credit Facility;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structurally subordinated to all existing and future indebtedness and other obligations of any of our subsidiaries and any other future subsidiaries of the Company, including, without limitation, the SBA debentures.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The Trustee under the Indenture </w:t>
      </w:r>
    </w:p>
    <w:p>
      <w:pPr>
        <w:pStyle w:val="TextBody"/>
        <w:bidi w:val="0"/>
        <w:spacing w:before="120" w:after="0"/>
        <w:jc w:val="left"/>
        <w:rPr>
          <w:rFonts w:ascii="Times New Roman" w:hAnsi="Times New Roman"/>
          <w:sz w:val="20"/>
        </w:rPr>
      </w:pPr>
      <w:r>
        <w:rPr>
          <w:rFonts w:ascii="Times New Roman" w:hAnsi="Times New Roman"/>
          <w:sz w:val="20"/>
        </w:rPr>
        <w:t xml:space="preserve">U.S. Bank Trust Company, National Association serves as the trustee, paying agent, and security registrar under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Procedures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represented by global securities that will be deposited and registered in the name of DTC or its nominee. This means that, except in limited circumstances, you will not receive certificates for the Notes. Beneficial interests in the Notes will be represented through book-entry accounts of financial institutions acting on behalf of beneficial owners as direct and indirect participants in DTC. Investors may elect to hold interests in the Notes through either DTC, if they are a participant, or indirectly through organizations that are participants in DTC.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be issued as fully registered securities registered in the name of Cede &amp; Co. (DTC’s partnership nominee) or such other name as may be requested by an authorized representative of DTC. One fully registered certificate will be issued for each issuance of the Notes, in the aggregate principal amount thereof, and will be deposited with DTC. Interests in the Notes will trade in DTC’s Same Day Funds Settlement System, and any permitted secondary market trading activity in such Notes will, therefore, be required by DTC to be settled in immediately available funds. None of the Company, the trustee or the paying agent will have any responsibility for the performance by DTC or its participants or indirect participants of their respective obligations under the rules and procedures governing their operations. </w:t>
      </w:r>
    </w:p>
    <w:p>
      <w:pPr>
        <w:pStyle w:val="TextBody"/>
        <w:bidi w:val="0"/>
        <w:spacing w:before="240" w:after="0"/>
        <w:jc w:val="left"/>
        <w:rPr>
          <w:rFonts w:ascii="Times New Roman" w:hAnsi="Times New Roman"/>
          <w:sz w:val="20"/>
        </w:rPr>
      </w:pPr>
      <w:r>
        <w:rPr>
          <w:rFonts w:ascii="Times New Roman" w:hAnsi="Times New Roman"/>
          <w:sz w:val="20"/>
        </w:rPr>
        <w:t xml:space="preserve">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over 3.5 million issues of U.S. and non-U.S. equity, corporate and municipal debt issues, and money market instruments from over 100 countries that DTC’s participants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 owned subsidiary of The Depository Trust &amp; Clearing Corporation (“DTCC”). </w:t>
      </w:r>
    </w:p>
    <w:p>
      <w:pPr>
        <w:pStyle w:val="TextBody"/>
        <w:bidi w:val="0"/>
        <w:spacing w:before="240" w:after="0"/>
        <w:jc w:val="left"/>
        <w:rPr>
          <w:rFonts w:ascii="Times New Roman" w:hAnsi="Times New Roman"/>
          <w:sz w:val="20"/>
        </w:rPr>
      </w:pPr>
      <w:r>
        <w:rPr>
          <w:rFonts w:ascii="Times New Roman" w:hAnsi="Times New Roman"/>
          <w:sz w:val="20"/>
        </w:rPr>
        <w:t xml:space="preserve">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(“Indirect Participants”). DTC has a Standard &amp; Poor’s Ratings Services’ rating of AA+. The DTC Rules applicable to its participants are on file with the SEC. More information about DTC can be found at www.dtcc.com and www.dtc.org. </w:t>
      </w:r>
    </w:p>
    <w:p>
      <w:pPr>
        <w:pStyle w:val="TextBody"/>
        <w:bidi w:val="0"/>
        <w:spacing w:before="240" w:after="0"/>
        <w:jc w:val="left"/>
        <w:rPr>
          <w:rFonts w:ascii="Times New Roman" w:hAnsi="Times New Roman"/>
          <w:sz w:val="20"/>
        </w:rPr>
      </w:pPr>
      <w:r>
        <w:rPr>
          <w:rFonts w:ascii="Times New Roman" w:hAnsi="Times New Roman"/>
          <w:sz w:val="20"/>
        </w:rPr>
        <w:t xml:space="preserve">Purchases of the Notes under the DTC system must be made by or through Direct Participants, which will receive a credit for the Notes on DTC’s records. The ownership interest of each actual purchaser of each security, or the “Beneficial Owner,” is in turn to be recorded on the Direct and Indirect Participants’ records. Beneficial Owners will not receive written confirmation from DTC of their purchase. Beneficial Owners are, however,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expected to receive written confirmations providing details of the transaction, as well as periodic statements of their holdings, from the Direct or Indirect Participant through which the Beneficial Owner entered into the transaction. Transfers of ownership interests in the Notes are to be accomplished by entries made on the books of Direct and Indirect Participants acting on behalf of Beneficial Owners. Beneficial Owners will not receive certificates representing their ownership interests in the Notes, except in the event that use of the book-entry system for the Notes is discontinued. </w:t>
      </w:r>
    </w:p>
    <w:p>
      <w:pPr>
        <w:pStyle w:val="TextBody"/>
        <w:bidi w:val="0"/>
        <w:spacing w:before="240" w:after="0"/>
        <w:jc w:val="left"/>
        <w:rPr>
          <w:rFonts w:ascii="Times New Roman" w:hAnsi="Times New Roman"/>
          <w:sz w:val="20"/>
        </w:rPr>
      </w:pPr>
      <w:r>
        <w:rPr>
          <w:rFonts w:ascii="Times New Roman" w:hAnsi="Times New Roman"/>
          <w:sz w:val="20"/>
        </w:rPr>
        <w:t xml:space="preserve">To facilitate subsequent transfers, all Notes deposited by Direct Participants with DTC are registered in the name of DTC’s partnership nominee, Cede &amp; Co. or such other name as may be requested by an authorized representative of DTC. The deposit of the Notes with DTC and their registration in the name of Cede &amp; Co. or such other DTC nominee do not effect any change in beneficial ownership. DTC has no knowledge of the actual Beneficial Owners of the Notes; DTC’s records reflect only the identity of the Direct Participants to whose accounts the Notes are credited, which may or may not be the Beneficial Owners. The Direct and Indirect Participants will remain responsible for keeping account of their holdings on behalf of their customers. </w:t>
      </w:r>
    </w:p>
    <w:p>
      <w:pPr>
        <w:pStyle w:val="TextBody"/>
        <w:bidi w:val="0"/>
        <w:spacing w:before="240" w:after="0"/>
        <w:jc w:val="left"/>
        <w:rPr>
          <w:rFonts w:ascii="Times New Roman" w:hAnsi="Times New Roman"/>
          <w:sz w:val="20"/>
        </w:rPr>
      </w:pPr>
      <w:r>
        <w:rPr>
          <w:rFonts w:ascii="Times New Roman" w:hAnsi="Times New Roman"/>
          <w:sz w:val="20"/>
        </w:rPr>
        <w:t xml:space="preserve">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Redemption notices shall be sent to DTC. If less than all of the Notes within an issue are being redeemed, DTC’s practice is to determine by lot the amount of the interest of each Direct Participant in such issue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Redemption proceeds, distributions, and interest payments on the Notes will be made to Cede &amp; Co., or such other nominee as may be requested by an authorized representative of DTC. DTC’s practice is to credit Direct Participants’ accounts upon DTC’s receipt of funds and corresponding detail information from us or the trustee on the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nor its nominee, the trustee, or us, subject to any statutory or regulatory requirements as may be in effect from time to time. Payment of redemption proceeds, distributions, and interest payments to Cede &amp; Co. (or such other nominee as may be requested by an authorized representative of DTC) is the responsibility of us or the trustee, but disbursement of such payments to Direct Participants will be the responsibility of DTC, and disbursement of such payments to the Beneficial Owners will be the responsibility of Direct and Indirect Participants. </w:t>
      </w:r>
    </w:p>
    <w:p>
      <w:pPr>
        <w:pStyle w:val="TextBody"/>
        <w:bidi w:val="0"/>
        <w:spacing w:before="240" w:after="0"/>
        <w:jc w:val="left"/>
        <w:rPr>
          <w:rFonts w:ascii="Times New Roman" w:hAnsi="Times New Roman"/>
          <w:sz w:val="20"/>
        </w:rPr>
      </w:pPr>
      <w:r>
        <w:rPr>
          <w:rFonts w:ascii="Times New Roman" w:hAnsi="Times New Roman"/>
          <w:sz w:val="20"/>
        </w:rPr>
        <w:t xml:space="preserve">DTC may discontinue providing its services as securities depository with respect to the Notes at any time by giving reasonable notice to us or to the trustee. Under such circumstances, in the event that a successor securities depository is not obtained, certificates are required to be printed and delivered. We may decide to discontinue use of the system of book-entry-only transfers through DTC (or a successor securities depository). In that event, certificates will be printed and delivered to DTC.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section concerning DTC and DTC’s book-entry system has been obtained from sources that we believe to be reliable, but neither we nor any of the underwriters take any responsibility for its accuracy.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S-34 </w:t>
      </w: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CERTAIN U.S. FEDERAL INCOME TAX CONSEQUENCES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summarizes certain material U.S. federal income tax consequences of acquiring, owning and disposing of the Notes. The discussion is based upon the Code; current, temporary and proposed U.S. Treasury Regulations issued thereunder (the “Treasury Regulations”); the legislative history of the Code; IRS rulings, pronouncements, interpretations and practices; and judicial decisions now in effect, all of which are subject to change at any time. Any such change may be applied retroactively in a manner that could adversely affect a holder of the Notes. This discussion is limited to persons purchasing the Notes for cash at original issue and at the offering price on the cover page of this prospectus supplement. We have not sought any ruling from the IRS with respect to the statements made and the conclusions reached in the following discussion, and there can be no assurance that the IRS will agree with such statements and conclusions. </w:t>
      </w:r>
    </w:p>
    <w:p>
      <w:pPr>
        <w:pStyle w:val="TextBody"/>
        <w:bidi w:val="0"/>
        <w:spacing w:before="240" w:after="0"/>
        <w:jc w:val="left"/>
        <w:rPr>
          <w:rFonts w:ascii="Times New Roman" w:hAnsi="Times New Roman"/>
          <w:sz w:val="20"/>
        </w:rPr>
      </w:pPr>
      <w:r>
        <w:rPr>
          <w:rFonts w:ascii="Times New Roman" w:hAnsi="Times New Roman"/>
          <w:sz w:val="20"/>
        </w:rPr>
        <w:t xml:space="preserve">Furthermore, this discussion assumes that each holder holds the Notes as “capital assets” within the meaning of Section 1221 of the Code (generally, property held for investment). It does not reflect every possible tax outcome or consequence that could result from acquiring, owning or disposing of the Notes. For example, special rules not discussed here may apply to you if you are: </w:t>
      </w:r>
    </w:p>
    <w:p>
      <w:pPr>
        <w:pStyle w:val="TextBody"/>
        <w:bidi w:val="0"/>
        <w:spacing w:before="0" w:after="0"/>
        <w:jc w:val="left"/>
        <w:rPr/>
      </w:pPr>
      <w:r>
        <w:rPr/>
        <w:t> </w:t>
      </w:r>
    </w:p>
    <w:tbl>
      <w:tblPr>
        <w:tblW w:w="5005" w:type="dxa"/>
        <w:jc w:val="left"/>
        <w:tblInd w:w="0" w:type="dxa"/>
        <w:tblLayout w:type="fixed"/>
        <w:tblCellMar>
          <w:top w:w="0" w:type="dxa"/>
          <w:left w:w="0" w:type="dxa"/>
          <w:bottom w:w="0" w:type="dxa"/>
          <w:right w:w="0" w:type="dxa"/>
        </w:tblCellMar>
      </w:tblPr>
      <w:tblGrid>
        <w:gridCol w:w="75"/>
        <w:gridCol w:w="110"/>
        <w:gridCol w:w="60"/>
        <w:gridCol w:w="47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broker-dealer, dealer or trader in securities or currencies; </w:t>
            </w:r>
          </w:p>
        </w:tc>
      </w:tr>
    </w:tbl>
    <w:p>
      <w:pPr>
        <w:pStyle w:val="TextBody"/>
        <w:bidi w:val="0"/>
        <w:spacing w:before="0" w:after="0"/>
        <w:jc w:val="left"/>
        <w:rPr/>
      </w:pPr>
      <w:r>
        <w:rPr/>
        <w:t> </w:t>
      </w:r>
    </w:p>
    <w:tbl>
      <w:tblPr>
        <w:tblW w:w="2980" w:type="dxa"/>
        <w:jc w:val="left"/>
        <w:tblInd w:w="0" w:type="dxa"/>
        <w:tblLayout w:type="fixed"/>
        <w:tblCellMar>
          <w:top w:w="0" w:type="dxa"/>
          <w:left w:w="0" w:type="dxa"/>
          <w:bottom w:w="0" w:type="dxa"/>
          <w:right w:w="0" w:type="dxa"/>
        </w:tblCellMar>
      </w:tblPr>
      <w:tblGrid>
        <w:gridCol w:w="75"/>
        <w:gridCol w:w="110"/>
        <w:gridCol w:w="60"/>
        <w:gridCol w:w="27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controlled foreign corporation; </w:t>
            </w:r>
          </w:p>
        </w:tc>
      </w:tr>
    </w:tbl>
    <w:p>
      <w:pPr>
        <w:pStyle w:val="TextBody"/>
        <w:bidi w:val="0"/>
        <w:spacing w:before="0" w:after="0"/>
        <w:jc w:val="left"/>
        <w:rPr/>
      </w:pPr>
      <w:r>
        <w:rPr/>
        <w:t> </w:t>
      </w:r>
    </w:p>
    <w:tbl>
      <w:tblPr>
        <w:tblW w:w="3490" w:type="dxa"/>
        <w:jc w:val="left"/>
        <w:tblInd w:w="0" w:type="dxa"/>
        <w:tblLayout w:type="fixed"/>
        <w:tblCellMar>
          <w:top w:w="0" w:type="dxa"/>
          <w:left w:w="0" w:type="dxa"/>
          <w:bottom w:w="0" w:type="dxa"/>
          <w:right w:w="0" w:type="dxa"/>
        </w:tblCellMar>
      </w:tblPr>
      <w:tblGrid>
        <w:gridCol w:w="75"/>
        <w:gridCol w:w="110"/>
        <w:gridCol w:w="60"/>
        <w:gridCol w:w="32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passive foreign investment company; </w:t>
            </w:r>
          </w:p>
        </w:tc>
      </w:tr>
    </w:tbl>
    <w:p>
      <w:pPr>
        <w:pStyle w:val="TextBody"/>
        <w:bidi w:val="0"/>
        <w:spacing w:before="0" w:after="0"/>
        <w:jc w:val="left"/>
        <w:rPr/>
      </w:pPr>
      <w:r>
        <w:rPr/>
        <w:t> </w:t>
      </w:r>
    </w:p>
    <w:tbl>
      <w:tblPr>
        <w:tblW w:w="1720" w:type="dxa"/>
        <w:jc w:val="left"/>
        <w:tblInd w:w="0" w:type="dxa"/>
        <w:tblLayout w:type="fixed"/>
        <w:tblCellMar>
          <w:top w:w="0" w:type="dxa"/>
          <w:left w:w="0" w:type="dxa"/>
          <w:bottom w:w="0" w:type="dxa"/>
          <w:right w:w="0" w:type="dxa"/>
        </w:tblCellMar>
      </w:tblPr>
      <w:tblGrid>
        <w:gridCol w:w="75"/>
        <w:gridCol w:w="110"/>
        <w:gridCol w:w="60"/>
        <w:gridCol w:w="14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S corporation; </w:t>
            </w:r>
          </w:p>
        </w:tc>
      </w:tr>
    </w:tbl>
    <w:p>
      <w:pPr>
        <w:pStyle w:val="TextBody"/>
        <w:bidi w:val="0"/>
        <w:spacing w:before="0" w:after="0"/>
        <w:jc w:val="left"/>
        <w:rPr/>
      </w:pPr>
      <w:r>
        <w:rPr/>
        <w:t> </w:t>
      </w:r>
    </w:p>
    <w:tbl>
      <w:tblPr>
        <w:tblW w:w="3760" w:type="dxa"/>
        <w:jc w:val="left"/>
        <w:tblInd w:w="0" w:type="dxa"/>
        <w:tblLayout w:type="fixed"/>
        <w:tblCellMar>
          <w:top w:w="0" w:type="dxa"/>
          <w:left w:w="0" w:type="dxa"/>
          <w:bottom w:w="0" w:type="dxa"/>
          <w:right w:w="0" w:type="dxa"/>
        </w:tblCellMar>
      </w:tblPr>
      <w:tblGrid>
        <w:gridCol w:w="75"/>
        <w:gridCol w:w="110"/>
        <w:gridCol w:w="60"/>
        <w:gridCol w:w="35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bank, thrift or other financial institution; </w:t>
            </w:r>
          </w:p>
        </w:tc>
      </w:tr>
    </w:tbl>
    <w:p>
      <w:pPr>
        <w:pStyle w:val="TextBody"/>
        <w:bidi w:val="0"/>
        <w:spacing w:before="0" w:after="0"/>
        <w:jc w:val="left"/>
        <w:rPr/>
      </w:pPr>
      <w:r>
        <w:rPr/>
        <w:t> </w:t>
      </w:r>
    </w:p>
    <w:tbl>
      <w:tblPr>
        <w:tblW w:w="8350" w:type="dxa"/>
        <w:jc w:val="left"/>
        <w:tblInd w:w="0" w:type="dxa"/>
        <w:tblLayout w:type="fixed"/>
        <w:tblCellMar>
          <w:top w:w="0" w:type="dxa"/>
          <w:left w:w="0" w:type="dxa"/>
          <w:bottom w:w="0" w:type="dxa"/>
          <w:right w:w="0" w:type="dxa"/>
        </w:tblCellMar>
      </w:tblPr>
      <w:tblGrid>
        <w:gridCol w:w="75"/>
        <w:gridCol w:w="110"/>
        <w:gridCol w:w="60"/>
        <w:gridCol w:w="81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RIC, a real estate investment trust or other financial conduit entity (or shareholder of such entity); </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75"/>
        <w:gridCol w:w="110"/>
        <w:gridCol w:w="60"/>
        <w:gridCol w:w="90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accrual method taxpayer subject to special tax accounting rules as a result of its use of financial statements; </w:t>
            </w:r>
          </w:p>
        </w:tc>
      </w:tr>
    </w:tbl>
    <w:p>
      <w:pPr>
        <w:pStyle w:val="TextBody"/>
        <w:bidi w:val="0"/>
        <w:spacing w:before="0" w:after="0"/>
        <w:jc w:val="left"/>
        <w:rPr/>
      </w:pPr>
      <w:r>
        <w:rPr/>
        <w:t> </w:t>
      </w:r>
    </w:p>
    <w:tbl>
      <w:tblPr>
        <w:tblW w:w="2200" w:type="dxa"/>
        <w:jc w:val="left"/>
        <w:tblInd w:w="0" w:type="dxa"/>
        <w:tblLayout w:type="fixed"/>
        <w:tblCellMar>
          <w:top w:w="0" w:type="dxa"/>
          <w:left w:w="0" w:type="dxa"/>
          <w:bottom w:w="0" w:type="dxa"/>
          <w:right w:w="0" w:type="dxa"/>
        </w:tblCellMar>
      </w:tblPr>
      <w:tblGrid>
        <w:gridCol w:w="75"/>
        <w:gridCol w:w="110"/>
        <w:gridCol w:w="60"/>
        <w:gridCol w:w="19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insurance company; </w:t>
            </w:r>
          </w:p>
        </w:tc>
      </w:tr>
    </w:tbl>
    <w:p>
      <w:pPr>
        <w:pStyle w:val="TextBody"/>
        <w:bidi w:val="0"/>
        <w:spacing w:before="0" w:after="0"/>
        <w:jc w:val="left"/>
        <w:rPr/>
      </w:pPr>
      <w:r>
        <w:rPr/>
        <w:t> </w:t>
      </w:r>
    </w:p>
    <w:tbl>
      <w:tblPr>
        <w:tblW w:w="8245" w:type="dxa"/>
        <w:jc w:val="left"/>
        <w:tblInd w:w="0" w:type="dxa"/>
        <w:tblLayout w:type="fixed"/>
        <w:tblCellMar>
          <w:top w:w="0" w:type="dxa"/>
          <w:left w:w="0" w:type="dxa"/>
          <w:bottom w:w="0" w:type="dxa"/>
          <w:right w:w="0" w:type="dxa"/>
        </w:tblCellMar>
      </w:tblPr>
      <w:tblGrid>
        <w:gridCol w:w="75"/>
        <w:gridCol w:w="110"/>
        <w:gridCol w:w="60"/>
        <w:gridCol w:w="80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tax-exempt organization, retirement plan, individual retirement account or tax deferred account; </w:t>
            </w:r>
          </w:p>
        </w:tc>
      </w:tr>
    </w:tbl>
    <w:p>
      <w:pPr>
        <w:pStyle w:val="TextBody"/>
        <w:bidi w:val="0"/>
        <w:spacing w:before="0" w:after="0"/>
        <w:jc w:val="left"/>
        <w:rPr/>
      </w:pPr>
      <w:r>
        <w:rPr/>
        <w:t> </w:t>
      </w:r>
    </w:p>
    <w:tbl>
      <w:tblPr>
        <w:tblW w:w="5410" w:type="dxa"/>
        <w:jc w:val="left"/>
        <w:tblInd w:w="0" w:type="dxa"/>
        <w:tblLayout w:type="fixed"/>
        <w:tblCellMar>
          <w:top w:w="0" w:type="dxa"/>
          <w:left w:w="0" w:type="dxa"/>
          <w:bottom w:w="0" w:type="dxa"/>
          <w:right w:w="0" w:type="dxa"/>
        </w:tblCellMar>
      </w:tblPr>
      <w:tblGrid>
        <w:gridCol w:w="75"/>
        <w:gridCol w:w="110"/>
        <w:gridCol w:w="60"/>
        <w:gridCol w:w="51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alternative minimum tax provisions of the Code;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holding the Notes as part of a hedge, straddle, conversion, integrated or other risk reduction or constructive sale transaction; </w:t>
            </w:r>
          </w:p>
        </w:tc>
      </w:tr>
    </w:tbl>
    <w:p>
      <w:pPr>
        <w:pStyle w:val="TextBody"/>
        <w:bidi w:val="0"/>
        <w:spacing w:before="0" w:after="0"/>
        <w:jc w:val="left"/>
        <w:rPr/>
      </w:pPr>
      <w:r>
        <w:rPr/>
        <w:t> </w:t>
      </w:r>
    </w:p>
    <w:tbl>
      <w:tblPr>
        <w:tblW w:w="5920" w:type="dxa"/>
        <w:jc w:val="left"/>
        <w:tblInd w:w="0" w:type="dxa"/>
        <w:tblLayout w:type="fixed"/>
        <w:tblCellMar>
          <w:top w:w="0" w:type="dxa"/>
          <w:left w:w="0" w:type="dxa"/>
          <w:bottom w:w="0" w:type="dxa"/>
          <w:right w:w="0" w:type="dxa"/>
        </w:tblCellMar>
      </w:tblPr>
      <w:tblGrid>
        <w:gridCol w:w="75"/>
        <w:gridCol w:w="110"/>
        <w:gridCol w:w="60"/>
        <w:gridCol w:w="56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holding the Notes through a partnership or other pass-through entity; </w:t>
            </w:r>
          </w:p>
        </w:tc>
      </w:tr>
    </w:tbl>
    <w:p>
      <w:pPr>
        <w:pStyle w:val="TextBody"/>
        <w:bidi w:val="0"/>
        <w:spacing w:before="0" w:after="0"/>
        <w:jc w:val="left"/>
        <w:rPr/>
      </w:pPr>
      <w:r>
        <w:rPr/>
        <w:t> </w:t>
      </w:r>
    </w:p>
    <w:tbl>
      <w:tblPr>
        <w:tblW w:w="9370" w:type="dxa"/>
        <w:jc w:val="left"/>
        <w:tblInd w:w="0" w:type="dxa"/>
        <w:tblLayout w:type="fixed"/>
        <w:tblCellMar>
          <w:top w:w="0" w:type="dxa"/>
          <w:left w:w="0" w:type="dxa"/>
          <w:bottom w:w="0" w:type="dxa"/>
          <w:right w:w="0" w:type="dxa"/>
        </w:tblCellMar>
      </w:tblPr>
      <w:tblGrid>
        <w:gridCol w:w="75"/>
        <w:gridCol w:w="110"/>
        <w:gridCol w:w="60"/>
        <w:gridCol w:w="91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“United States person” (within the meaning of the Code) whose “functional currency” is not the U.S. dollar; or </w:t>
            </w:r>
          </w:p>
        </w:tc>
      </w:tr>
    </w:tbl>
    <w:p>
      <w:pPr>
        <w:pStyle w:val="TextBody"/>
        <w:bidi w:val="0"/>
        <w:spacing w:before="0" w:after="0"/>
        <w:jc w:val="left"/>
        <w:rPr/>
      </w:pPr>
      <w:r>
        <w:rPr/>
        <w:t> </w:t>
      </w:r>
    </w:p>
    <w:tbl>
      <w:tblPr>
        <w:tblW w:w="7750" w:type="dxa"/>
        <w:jc w:val="left"/>
        <w:tblInd w:w="0" w:type="dxa"/>
        <w:tblLayout w:type="fixed"/>
        <w:tblCellMar>
          <w:top w:w="0" w:type="dxa"/>
          <w:left w:w="0" w:type="dxa"/>
          <w:bottom w:w="0" w:type="dxa"/>
          <w:right w:w="0" w:type="dxa"/>
        </w:tblCellMar>
      </w:tblPr>
      <w:tblGrid>
        <w:gridCol w:w="75"/>
        <w:gridCol w:w="110"/>
        <w:gridCol w:w="60"/>
        <w:gridCol w:w="75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former citizen or long-term resident of the United States that satisfies certain requirements.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discussion also does not address the U.S. federal income tax consequences to beneficial owners of the Notes subject to the special tax accounting rules under Section 451(b) of the Code. In addition, this discussion does not reflect state, local or non-U.S. tax consequences that may apply to you based on your particular circumstances and residence. This discussion also does not address any U.S. federal tax consequences, such as the estate tax or gift tax, other than U.S. federal income tax consequences. You should consult your own tax advisors to determine the tax consequences particular to your situation, including any applicable state, local or foreign income and other tax consequences, which may result from your acquisition, ownership or disposition of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S-35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used herein, “U.S. holder” means a beneficial owner of the Notes that is, for U.S. federal income tax purposes: </w:t>
      </w:r>
    </w:p>
    <w:p>
      <w:pPr>
        <w:pStyle w:val="TextBody"/>
        <w:bidi w:val="0"/>
        <w:spacing w:before="0" w:after="0"/>
        <w:jc w:val="left"/>
        <w:rPr/>
      </w:pPr>
      <w:r>
        <w:rPr/>
        <w:t> </w:t>
      </w:r>
    </w:p>
    <w:tbl>
      <w:tblPr>
        <w:tblW w:w="4510" w:type="dxa"/>
        <w:jc w:val="left"/>
        <w:tblInd w:w="0" w:type="dxa"/>
        <w:tblLayout w:type="fixed"/>
        <w:tblCellMar>
          <w:top w:w="0" w:type="dxa"/>
          <w:left w:w="0" w:type="dxa"/>
          <w:bottom w:w="0" w:type="dxa"/>
          <w:right w:w="0" w:type="dxa"/>
        </w:tblCellMar>
      </w:tblPr>
      <w:tblGrid>
        <w:gridCol w:w="75"/>
        <w:gridCol w:w="110"/>
        <w:gridCol w:w="60"/>
        <w:gridCol w:w="42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citizen or individual resident of the United States;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treated as a corporation) created or organized in or under the laws of the United States, any state thereof or the District of Columbia; </w:t>
            </w:r>
          </w:p>
        </w:tc>
      </w:tr>
    </w:tbl>
    <w:p>
      <w:pPr>
        <w:pStyle w:val="TextBody"/>
        <w:bidi w:val="0"/>
        <w:spacing w:before="0" w:after="0"/>
        <w:jc w:val="left"/>
        <w:rPr/>
      </w:pPr>
      <w:r>
        <w:rPr/>
        <w:t> </w:t>
      </w:r>
    </w:p>
    <w:tbl>
      <w:tblPr>
        <w:tblW w:w="7855" w:type="dxa"/>
        <w:jc w:val="left"/>
        <w:tblInd w:w="0" w:type="dxa"/>
        <w:tblLayout w:type="fixed"/>
        <w:tblCellMar>
          <w:top w:w="0" w:type="dxa"/>
          <w:left w:w="0" w:type="dxa"/>
          <w:bottom w:w="0" w:type="dxa"/>
          <w:right w:w="0" w:type="dxa"/>
        </w:tblCellMar>
      </w:tblPr>
      <w:tblGrid>
        <w:gridCol w:w="75"/>
        <w:gridCol w:w="110"/>
        <w:gridCol w:w="60"/>
        <w:gridCol w:w="76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trust if (1) a court within the United States that is able to exercise primary supervision over the administration of the trust and one or more “United States persons” (within the meaning of the Code), has the authority to control all substantial decisions of the trust, or (2) the trust has a valid election in effect under applicable Treasury Regulations to be treated as a United States person.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 partnership (including an entity or arrangement treated as a partnership for U.S. federal income tax purposes) holds the Notes, the U.S. federal income tax treatment of a partner in the partnership generally will depend upon the status of the partner and the activities of the partnership and certain determinations made at the partner level. Partnerships holding Notes, and persons holding interest in such partnerships, should consult their own tax advisor regarding the consequences of investing in the Notes. This discussion does not address the special treatment under U.S. federal income tax law that could result if we invested in tax-exempt securities or certain other investment assets. For purposes of this discussion, “non-U.S. holder” means a beneficial owner of the Notes that is neither a U.S. holder nor a partnership (or other entity or arrangement treated as a partnership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Prospective holders considering purchasing the Notes should consult their own tax advisors concerning the application of the U.S. federal tax laws to their individual circumstances, as well as any consequences to such holders relating to purchasing, owning and disposing of the Notes under the laws of any other taxing jurisdiction. </w:t>
      </w:r>
    </w:p>
    <w:p>
      <w:pPr>
        <w:pStyle w:val="TextBody"/>
        <w:bidi w:val="0"/>
        <w:spacing w:before="360" w:after="0"/>
        <w:jc w:val="left"/>
        <w:rPr>
          <w:rFonts w:ascii="Times New Roman" w:hAnsi="Times New Roman"/>
          <w:b/>
          <w:sz w:val="20"/>
        </w:rPr>
      </w:pPr>
      <w:r>
        <w:rPr>
          <w:rFonts w:ascii="Times New Roman" w:hAnsi="Times New Roman"/>
          <w:b/>
          <w:sz w:val="20"/>
        </w:rPr>
        <w:t xml:space="preserve">Qualified Reopening </w:t>
      </w:r>
    </w:p>
    <w:p>
      <w:pPr>
        <w:pStyle w:val="TextBody"/>
        <w:bidi w:val="0"/>
        <w:spacing w:before="120" w:after="0"/>
        <w:jc w:val="left"/>
        <w:rPr>
          <w:rFonts w:ascii="Times New Roman" w:hAnsi="Times New Roman"/>
          <w:sz w:val="20"/>
        </w:rPr>
      </w:pPr>
      <w:r>
        <w:rPr>
          <w:rFonts w:ascii="Times New Roman" w:hAnsi="Times New Roman"/>
          <w:sz w:val="20"/>
        </w:rPr>
        <w:t xml:space="preserve">We intend to treat, for U.S. federal income tax purposes, the issuance of the Notes offered hereby as a “qualified reopening” of the Existing Notes. Accordingly, we intend to treat the Notes offered hereby as having the same issue date and the same issue price as the Existing Notes. The remainder of this summary assumes this treatment. </w:t>
      </w:r>
    </w:p>
    <w:p>
      <w:pPr>
        <w:pStyle w:val="TextBody"/>
        <w:bidi w:val="0"/>
        <w:spacing w:before="360" w:after="0"/>
        <w:jc w:val="left"/>
        <w:rPr>
          <w:rFonts w:ascii="Times New Roman" w:hAnsi="Times New Roman"/>
          <w:b/>
          <w:sz w:val="20"/>
        </w:rPr>
      </w:pPr>
      <w:r>
        <w:rPr>
          <w:rFonts w:ascii="Times New Roman" w:hAnsi="Times New Roman"/>
          <w:b/>
          <w:sz w:val="20"/>
        </w:rPr>
        <w:t xml:space="preserve">Aggregate Accrued Interest </w:t>
      </w:r>
    </w:p>
    <w:p>
      <w:pPr>
        <w:pStyle w:val="TextBody"/>
        <w:bidi w:val="0"/>
        <w:spacing w:before="120" w:after="0"/>
        <w:jc w:val="left"/>
        <w:rPr>
          <w:rFonts w:ascii="Times New Roman" w:hAnsi="Times New Roman"/>
          <w:sz w:val="20"/>
        </w:rPr>
      </w:pPr>
      <w:r>
        <w:rPr>
          <w:rFonts w:ascii="Times New Roman" w:hAnsi="Times New Roman"/>
          <w:sz w:val="20"/>
        </w:rPr>
        <w:t xml:space="preserve">Interest on the Notes offered hereby will accrue from September 19, 2025, up to, but not including, the date of delivery and will be paid by the purchasers of the Notes offered hereby (the “Aggregate Accrued Interest”). On March 19, 2026, we will pay this Aggregate Accrued Interest to the holders of the Notes offered hereby as of the applicable record date along with interest accrued on the Notes offered hereby from the date of delivery to such interest payment date. We intend to take the position that a portion of the interest payment received on the first interest payment date following the issuance of the Notes that equals the Aggregate Accrued Interest as a return of the Aggregate Accrued Interest, rather than an amount payable on such Notes. If this position is respected a portion of the interest payment received by a holder on the first interest payment date following the issuance of the Notes will be treated as a non-taxable return of the Aggregate Accrued Interest paid by the holder, rather than as taxable interest, as if the holder purchased a debt instrument on the secondary market between interest payment dates and will, when received, reduce the holder’s basis in the Notes. Holders should consult their own tax advisors concerning the tax treatment of the Aggregate Accrued Interest on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U.S. Holders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Interest</w:t>
      </w:r>
    </w:p>
    <w:p>
      <w:pPr>
        <w:pStyle w:val="TextBody"/>
        <w:bidi w:val="0"/>
        <w:spacing w:before="120" w:after="0"/>
        <w:jc w:val="left"/>
        <w:rPr>
          <w:rFonts w:ascii="Times New Roman" w:hAnsi="Times New Roman"/>
          <w:sz w:val="20"/>
        </w:rPr>
      </w:pPr>
      <w:r>
        <w:rPr>
          <w:rFonts w:ascii="Times New Roman" w:hAnsi="Times New Roman"/>
          <w:sz w:val="20"/>
        </w:rPr>
        <w:t xml:space="preserve">. The following discussion assumes that the Notes will be issued with no original issue discount or a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de minimis</w:t>
      </w:r>
    </w:p>
    <w:p>
      <w:pPr>
        <w:pStyle w:val="TextBody"/>
        <w:bidi w:val="0"/>
        <w:spacing w:before="120" w:after="0"/>
        <w:jc w:val="left"/>
        <w:rPr>
          <w:rFonts w:ascii="Times New Roman" w:hAnsi="Times New Roman"/>
          <w:sz w:val="20"/>
        </w:rPr>
      </w:pPr>
      <w:r>
        <w:rPr>
          <w:rFonts w:ascii="Times New Roman" w:hAnsi="Times New Roman"/>
          <w:sz w:val="20"/>
        </w:rPr>
        <w:t xml:space="preserve">amount of original issue discount for U.S. federal income tax purposes. A U.S. holder generally will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S-36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be required to recognize and include in gross income any stated interest (other than Aggregate Accrued Interest as described above) as ordinary income at the time it is paid or accrued on the Notes in accordance with such U.S. holder’s method of accounting for U.S. federal income tax purposes.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Sale or other taxable disposition of the Notes</w:t>
      </w:r>
    </w:p>
    <w:p>
      <w:pPr>
        <w:pStyle w:val="TextBody"/>
        <w:bidi w:val="0"/>
        <w:spacing w:before="240" w:after="0"/>
        <w:jc w:val="left"/>
        <w:rPr>
          <w:rFonts w:ascii="Times New Roman" w:hAnsi="Times New Roman"/>
          <w:sz w:val="20"/>
        </w:rPr>
      </w:pPr>
      <w:r>
        <w:rPr>
          <w:rFonts w:ascii="Times New Roman" w:hAnsi="Times New Roman"/>
          <w:sz w:val="20"/>
        </w:rPr>
        <w:t xml:space="preserve">. A U.S. holder will recognize capital gain or loss on the sale, exchange, redemption, retirement or other taxable disposition of a Note equal to the difference between the sum of the cash and the fair market value of any property received in exchange therefor (less a portion allocable to any accrued and unpaid stated interest, including Aggregate Accrued Interest, as discussed above, which generally will be taxable as ordinary income if not previously included in such U.S. holder’s income) and the U.S. holder’s adjusted tax basis in the Note. A U.S. holder’s adjusted tax basis in a Note generally will be equal to the amount that the U.S. holder paid for the Note (excluding any amount attributable to the Aggregate Accrued Interest described above) less any principal payments received by the U.S. holder. Any gain or loss generally will be long-term capital gain or loss if the U.S. holder has held the Notes for more than one year at the time of such disposition. Otherwise, such gain or loss will be short-term gain or loss. Long-term capital gains recognized by certain non-corporate U.S. holders, including individuals, generally are eligible for reduced rates of tax. The deductibility of capital losses may be subject to limitations under the Code.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Additional tax on net investment income. </w:t>
      </w:r>
    </w:p>
    <w:p>
      <w:pPr>
        <w:pStyle w:val="TextBody"/>
        <w:bidi w:val="0"/>
        <w:spacing w:before="240" w:after="0"/>
        <w:jc w:val="left"/>
        <w:rPr>
          <w:rFonts w:ascii="Times New Roman" w:hAnsi="Times New Roman"/>
          <w:sz w:val="20"/>
        </w:rPr>
      </w:pPr>
      <w:r>
        <w:rPr>
          <w:rFonts w:ascii="Times New Roman" w:hAnsi="Times New Roman"/>
          <w:sz w:val="20"/>
        </w:rPr>
        <w:t xml:space="preserve">An additional surtax at a rate of 3.8% is imposed on the amount of “net investment income,” in the case of an individual, or undistributed “net investment income,” in the case of an estate or trust (other than a charitable trust), which exceeds certain threshold amounts. “Net investment income” as defined for U.S. federal Medicare contribution purposes generally includes interest payments and gain recognized from the sale or other taxable disposition of the Notes. U.S. holders should consult their own tax advisors regarding the effect, if any, of this surtax on their ownership and disposition of the Notes.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Information reporting and backup withholding</w:t>
      </w:r>
    </w:p>
    <w:p>
      <w:pPr>
        <w:pStyle w:val="TextBody"/>
        <w:bidi w:val="0"/>
        <w:spacing w:before="240" w:after="0"/>
        <w:jc w:val="left"/>
        <w:rPr>
          <w:rFonts w:ascii="Times New Roman" w:hAnsi="Times New Roman"/>
          <w:sz w:val="20"/>
        </w:rPr>
      </w:pPr>
      <w:r>
        <w:rPr>
          <w:rFonts w:ascii="Times New Roman" w:hAnsi="Times New Roman"/>
          <w:sz w:val="20"/>
        </w:rPr>
        <w:t xml:space="preserve">. A U.S. holder may be subject to information reporting and backup withholding when such U.S. holder receives interest payments on the Notes held or the proceeds received upon the sale or other disposition of such Notes (including a redemption or retirement of the Notes). Certain U.S. holders such as corporations are generally exempt from information reporting or backup withholding. A U.S. holder will be subject to backup withholding if such U.S. holder is not otherwise exempt and: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such U.S. holder fails to furnish its taxpayer identification number, or “TIN,” which, for an individual is ordinarily his or her social security number; </w:t>
            </w:r>
          </w:p>
        </w:tc>
      </w:tr>
    </w:tbl>
    <w:p>
      <w:pPr>
        <w:pStyle w:val="TextBody"/>
        <w:bidi w:val="0"/>
        <w:spacing w:before="0" w:after="0"/>
        <w:jc w:val="left"/>
        <w:rPr>
          <w:spacing w:val="0"/>
        </w:rPr>
      </w:pPr>
      <w:r>
        <w:rPr>
          <w:spacing w:val="0"/>
        </w:rPr>
        <w:t> </w:t>
      </w:r>
    </w:p>
    <w:tbl>
      <w:tblPr>
        <w:tblW w:w="6355" w:type="dxa"/>
        <w:jc w:val="left"/>
        <w:tblInd w:w="0" w:type="dxa"/>
        <w:tblLayout w:type="fixed"/>
        <w:tblCellMar>
          <w:top w:w="0" w:type="dxa"/>
          <w:left w:w="0" w:type="dxa"/>
          <w:bottom w:w="0" w:type="dxa"/>
          <w:right w:w="0" w:type="dxa"/>
        </w:tblCellMar>
      </w:tblPr>
      <w:tblGrid>
        <w:gridCol w:w="75"/>
        <w:gridCol w:w="110"/>
        <w:gridCol w:w="60"/>
        <w:gridCol w:w="61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the IRS notifies the payor that such U.S. holder furnished an incorrect TIN; </w:t>
            </w:r>
          </w:p>
        </w:tc>
      </w:tr>
    </w:tbl>
    <w:p>
      <w:pPr>
        <w:pStyle w:val="TextBody"/>
        <w:bidi w:val="0"/>
        <w:spacing w:before="0" w:after="0"/>
        <w:jc w:val="left"/>
        <w:rPr>
          <w:spacing w:val="0"/>
        </w:rPr>
      </w:pPr>
      <w:r>
        <w:rPr>
          <w:spacing w:val="0"/>
        </w:rPr>
        <w:t> </w:t>
      </w:r>
    </w:p>
    <w:tbl>
      <w:tblPr>
        <w:tblW w:w="10105" w:type="dxa"/>
        <w:jc w:val="left"/>
        <w:tblInd w:w="0" w:type="dxa"/>
        <w:tblLayout w:type="fixed"/>
        <w:tblCellMar>
          <w:top w:w="0" w:type="dxa"/>
          <w:left w:w="0" w:type="dxa"/>
          <w:bottom w:w="0" w:type="dxa"/>
          <w:right w:w="0" w:type="dxa"/>
        </w:tblCellMar>
      </w:tblPr>
      <w:tblGrid>
        <w:gridCol w:w="75"/>
        <w:gridCol w:w="110"/>
        <w:gridCol w:w="60"/>
        <w:gridCol w:w="98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the Company is notified by the IRS that the U.S. holder has failed to properly report payments of interest or dividends; or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such U.S. holder fails to certify, under penalties of perjury, on an IRS Form W-9 (Request for Taxpayer Identification Number and Certification) or a suitable substitute form (or other applicable certificate) that the U.S. holder has furnished a correct TIN and that the IRS has not notified such U.S. holder that the U.S. holder is subject to backup withholding.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 U.S. holder should consult its tax advisor regarding its qualification for an exemption from backup withholding and the procedures for obtaining such an exemption, if applicable. Backup withholding is not an additional tax. Any amounts withheld under the backup withholding rules from a payment to a U.S. holder generally will be allowed as a credit against the U.S. holder’s U.S. federal income tax liability or may be refunded, provided the required information is furnished in a timely manner to the IRS.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Non-U.S. Holders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Interest</w:t>
      </w:r>
    </w:p>
    <w:p>
      <w:pPr>
        <w:pStyle w:val="TextBody"/>
        <w:bidi w:val="0"/>
        <w:spacing w:before="120" w:after="0"/>
        <w:jc w:val="left"/>
        <w:rPr>
          <w:rFonts w:ascii="Times New Roman" w:hAnsi="Times New Roman"/>
          <w:sz w:val="20"/>
        </w:rPr>
      </w:pPr>
      <w:r>
        <w:rPr>
          <w:rFonts w:ascii="Times New Roman" w:hAnsi="Times New Roman"/>
          <w:sz w:val="20"/>
        </w:rPr>
        <w:t xml:space="preserve">. Subject to the discussion below concerning backup withholding and FATCA (as defined below), generally interest paid to a non-U.S. holder on its Notes that is not effectively connected with such non-U.S. holder’s conduct of a United States trade or business is subject to withholding at a rate of 30% (or, if applicable,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S-37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a reduced rate pursuant to an applicable income tax treaty). Nevertheless, interest paid on a Note to a non-U.S. holder that is not effectively connected with the non-U.S. holder’s conduct of a trade or business in the United States (and, if required by an applicable income tax treaty, is not attributable to a permanent establishment maintained by the non-U.S. holder in the United States) will not be subject to U.S. federal withholding tax, provided that: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such non-U.S. holder does not directly or indirectly, actually or constructively, own 10% or more of the total combined voting power of all classes of our voting stock;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such non-U.S. holder is not a controlled foreign corporation that is related to us through actual or constructive stock ownership (as determined under the Code);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such non-U.S. holder is not a bank that received such Note on an extension of credit made pursuant to a loan agreement entered into in the ordinary course of its trade or business; and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either (1) the non-U.S. holder certifies, prior to the payment of interest, in a statement (generally, a properly executed IRS Form W-8BEN or IRS W-8BEN-E, as applicable, or a suitable substitute) provided to us or the paying agent under penalties of perjury, that it is the beneficial owner of the Note and is not a “United States person” (within the meaning of the Code) and provides its name and address, (2) a securities clearing organization, bank or other financial institution that holds customers’ securities in the ordinary course of its trade or business and holds the Note on behalf of the non-U.S. holder certifies to us or the paying agent, prior to the payment of interest, under penalties of perjury that it, or the financial institution between it and the non-U.S. holder, has received from the non-U.S. holder a statement under penalties of perjury, that such non-U.S. holder is the beneficial owner of the Notes and is not a United States person and provides us or the paying agent with a copy of such statement or (3) the non-U.S. holder holds its Note directly through a “qualified intermediary” and certain conditions are satisfied.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Even if the above conditions are not met, a non-U.S. holder generally will be entitled to a reduction in or an exemption from U.S. federal withholding tax on interest if the non-U.S. holder provides us or our paying agent with a properly executed IRS Form W-8BEN or IRS Form W-8BEN-E, as applicable, or a suitable substitute form (or other applicable certificate) claiming an exemption from or reduction of the withholding tax under the benefit of an income tax treaty between the United States and the non-U.S. holder’s country of residence. A Non-U.S. holder is required to inform the recipient of any change in the information on such statement within 30 days of such change. Special certification rules apply to Non-U.S. holders that are pass-through entities rather than corporations or individuals.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If interest paid to a non-U.S. holder is effectively connected with the non-U.S. holder’s conduct of a trade or business in the United States (and if required by an applicable income tax treaty, is attributable to a permanent establishment maintained by the non-U.S. holder in the United States), then, the non-U.S. holder will be exempt from U.S. federal withholding tax, so long as the non-U.S. holder has provided an IRS Form W-8ECI or substantially similar substitute form stating that the interest that the non-U.S. holder receives on the Notes is effectively connected with the non-U.S. holder’s U.S. trade or business. In such a case, a non-U.S. holder will be subject to tax on the interest it receives on a net income basis in the same manner as if such non-U.S. holder were a U.S. holder. In addition, if the non-U.S. holder is a foreign corporation, such interest may be subject to a branch profits tax at a rate of 30% or lower applicable treaty rate.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Sale or other taxable disposition of the Notes</w:t>
      </w:r>
    </w:p>
    <w:p>
      <w:pPr>
        <w:pStyle w:val="TextBody"/>
        <w:bidi w:val="0"/>
        <w:spacing w:before="240" w:after="0"/>
        <w:jc w:val="left"/>
        <w:rPr>
          <w:rFonts w:ascii="Times New Roman" w:hAnsi="Times New Roman"/>
          <w:sz w:val="20"/>
        </w:rPr>
      </w:pPr>
      <w:r>
        <w:rPr>
          <w:rFonts w:ascii="Times New Roman" w:hAnsi="Times New Roman"/>
          <w:sz w:val="20"/>
        </w:rPr>
        <w:t xml:space="preserve">. Subject to the discussion below concerning backup withholding and FATCA (as defined below), any gain realized by a non-U.S. holder on the sale, exchange, retirement, redemption or other taxable disposition of the Note generally will not be subject to U.S. federal income tax unless: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the gain is effectively connected with the non-U.S. holder’s conduct of a trade or business in the United States (and, if required by an applicable income tax treaty, the gain is not attributable to a permanent establishment maintained by such non-U.S. holder in the United States);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S-38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in the case of a non-U.S. holder who is an individual, such non-U.S. holder is present in the United States for 183 days or more in the taxable year of disposition and the non-U.S. holder is not eligible for relief under an applicable income tax treaty; or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 portion of the gain is attributable to accrued but unpaid interest, in which case such amounts will be subject to tax as described above in “</w:t>
            </w:r>
          </w:p>
          <w:p>
            <w:pPr>
              <w:pStyle w:val="TableContents"/>
              <w:bidi w:val="0"/>
              <w:spacing w:before="0" w:after="0"/>
              <w:jc w:val="left"/>
              <w:rPr>
                <w:caps w:val="false"/>
                <w:smallCaps w:val="false"/>
                <w:spacing w:val="0"/>
              </w:rPr>
            </w:pPr>
            <w:r>
              <w:rPr>
                <w:caps w:val="false"/>
                <w:smallCaps w:val="false"/>
                <w:spacing w:val="0"/>
              </w:rPr>
              <w:t xml:space="preserve">— </w:t>
            </w:r>
            <w:r>
              <w:rPr>
                <w:rFonts w:ascii="Times New Roman" w:hAnsi="Times New Roman"/>
                <w:i/>
                <w:caps w:val="false"/>
                <w:smallCaps w:val="false"/>
                <w:spacing w:val="0"/>
                <w:sz w:val="20"/>
              </w:rPr>
              <w:t>Interes</w:t>
            </w:r>
          </w:p>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t</w:t>
            </w:r>
          </w:p>
          <w:p>
            <w:pPr>
              <w:pStyle w:val="TableContents"/>
              <w:bidi w:val="0"/>
              <w:spacing w:before="0" w:after="0"/>
              <w:jc w:val="left"/>
              <w:rPr>
                <w:rFonts w:ascii="Times New Roman" w:hAnsi="Times New Roman"/>
                <w:sz w:val="20"/>
              </w:rPr>
            </w:pP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non-U.S. holder described in the first bullet point above will be required to pay U.S. federal income tax on the net gain derived from the sale or other taxable disposition generally in the same manner as if such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holder were a U.S. holder, and if such non-U.S. holder is a foreign corporation, it may also be required to pay an additional branch profits tax at a 30% rate (or a lower rate under an applicable income tax treaty). A non-U.S. holder described in the second bullet point above will be subject to U.S. federal income tax at a rate of 30% (or a lower rate under an applicable income tax treaty) on the gain derived from the sale or other taxable disposition, which may be offset by certain U.S. source capital losses.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Backup withholding and information reporting</w:t>
      </w:r>
    </w:p>
    <w:p>
      <w:pPr>
        <w:pStyle w:val="TextBody"/>
        <w:bidi w:val="0"/>
        <w:spacing w:before="240" w:after="0"/>
        <w:jc w:val="left"/>
        <w:rPr>
          <w:rFonts w:ascii="Times New Roman" w:hAnsi="Times New Roman"/>
          <w:sz w:val="20"/>
        </w:rPr>
      </w:pPr>
      <w:r>
        <w:rPr>
          <w:rFonts w:ascii="Times New Roman" w:hAnsi="Times New Roman"/>
          <w:sz w:val="20"/>
        </w:rPr>
        <w:t>. The amount of interest that we pay to any documented non-U.S. holder on the Notes will be reported to the non-U.S. holder and to the IRS annually on an IRS Form 1042-S, regardless of whether any tax was actually withheld. Copies of these information returns may also be made available under the provisions of a specific income tax treaty or agreement to the tax authorities of the country in which the non-U.S. holder resides. However, a non-U.S. holder generally will not be subject to backup withholding and certain other information reporting with respect to payments that we make to the non-U.S. holder, provided that we do not have actual knowledge or reason to know that such holder is a “United States person,” within the meaning of the Code, and the non-U.S. holder has given us the statement described above under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Non-U.S. Holders — Interest</w:t>
      </w:r>
    </w:p>
    <w:p>
      <w:pPr>
        <w:pStyle w:val="TextBody"/>
        <w:bidi w:val="0"/>
        <w:spacing w:before="240" w:after="0"/>
        <w:jc w:val="left"/>
        <w:rPr>
          <w:rFonts w:ascii="Times New Roman" w:hAnsi="Times New Roman"/>
          <w:sz w:val="20"/>
        </w:rPr>
      </w:pPr>
      <w:r>
        <w:rPr>
          <w:rFonts w:ascii="Times New Roman" w:hAnsi="Times New Roman"/>
          <w:sz w:val="20"/>
        </w:rPr>
        <w:t xml:space="preserv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If a non-U.S. holder sells or exchanges a Note through a United States broker or the United States office of a foreign broker, the proceeds from such sale or exchange will be subject to information reporting and backup withholding unless the non-U.S. holder provides a withholding certificate or other appropriate documentary evidence establishing that such holder is not a U.S. holder to the broker and such broker does not have actual knowledge or reason to know that such holder is a U.S. holder, or the non-U.S. holder is an exempt recipient eligible for an exemption from information reporting and backup withholding. If a non-U.S. holder sells or exchanges a Note through the foreign office of a broker who is a United States person or has certain enumerated connections with the United States, the proceeds from such sale or exchange will be subject to information reporting unless the non-U.S. holder provides to such broker a withholding certificate or other documentary evidence establishing that such holder is not a U.S. holder and such broker does not have actual knowledge or reason to know that such evidence is false, or the non-U.S. holder is an exempt recipient eligible for an exemption from information reporting. In circumstances where information reporting by the foreign office of such a broker is required, backup withholding will be required only if the broker has actual knowledge that the holder is a U.S. holder.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 non-U.S. holder generally will be entitled to credit any amounts withheld under the backup withholding rules against the non-U.S. holder’s U.S. federal income tax liability or may claim a refund provided that the required information is furnished to the IRS in a timely manner.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Non-U.S. holders are urged to consult their tax advisors regarding the application of information reporting and backup withholding in their particular situations, the availability of an exemption therefrom, and the procedures for obtaining such an exemption, if available.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Foreign Account Tax Compliance Act</w:t>
      </w:r>
    </w:p>
    <w:p>
      <w:pPr>
        <w:pStyle w:val="TextBody"/>
        <w:bidi w:val="0"/>
        <w:spacing w:before="240" w:after="0"/>
        <w:jc w:val="left"/>
        <w:rPr>
          <w:rFonts w:ascii="Times New Roman" w:hAnsi="Times New Roman"/>
          <w:sz w:val="20"/>
        </w:rPr>
      </w:pPr>
      <w:r>
        <w:rPr>
          <w:rFonts w:ascii="Times New Roman" w:hAnsi="Times New Roman"/>
          <w:sz w:val="20"/>
        </w:rPr>
        <w:t xml:space="preserve">. Legislation commonly referred to as the “Foreign Account Tax Compliance Act,” or “FATCA,” generally imposes a 30% withholding tax on payments of certain types of income to foreign financial institutions (“FFIs”) unless such FFIs either (i) enter into an agreement with the U.S. Treasury to report certain required information with respect to accounts held by certain specified U.S. persons (or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S-39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held by foreign non-U.S. entities that have certain specified U.S. persons as substantial owners) or (ii) reside in a jurisdiction that has entered into an intergovernmental agreement (“IGA”) with the United States to provide such information and are in compliance with the terms of such IGA and any implementing legislation or regulation. The types of income subject to the tax include U.S. source interest and dividends. While the Code would also require withholding on payments of the gross proceeds from the sale of any property that could produce U.S. source interest or dividends, the U.S. Treasury Department has indicated its intent to eliminate this requirement in proposed regulations, which state that taxpayers may rely on the proposed regulations until final regulations are issued. The information required to be reported includes the identity and taxpayer identification number of each account holder that is a specified U.S. person and financial information associated with the holder’s account. In addition, subject to certain exceptions, this legislation also imposes a 30% withholding on certain payments to certain foreign non-U.S. entities that are not financial institutions unless the foreign non-U.S. entity certifies that it does not have a greater than 10% owner that is a specified U.S. person or provides the withholding agent with identifying information on each greater than 10% owner that is a specified person. Depending on the status of the non-U.S. shareholder and the status of the intermediaries through which they hold a Note, a non-U.S. shareholder could be subject to this 30% withholding tax with respect to interest paid on a Note. Under certain circumstances, a non-U.S. shareholder might be eligible for refunds or credits of such taxes.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S-40 </w:t>
      </w: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UNDERWRITING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Raymond James &amp; Associates, Inc. and ING Financial Markets LLC are acting as the representatives of the underwriters for this offering. Subject to the terms and conditions set forth in an underwriting agreement dated October 1, 2025 between us and the underwriters, we have agreed to sell to the underwriters, and each underwriter has severally agreed to purchase from us, the aggregate principal amount of Notes listed next to its name in the following table: </w:t>
      </w:r>
    </w:p>
    <w:p>
      <w:pPr>
        <w:pStyle w:val="TextBody"/>
        <w:bidi w:val="0"/>
        <w:spacing w:before="0" w:after="0"/>
        <w:jc w:val="left"/>
        <w:rPr>
          <w:spacing w:val="0"/>
        </w:rPr>
      </w:pPr>
      <w:r>
        <w:rPr>
          <w:spacing w:val="0"/>
        </w:rPr>
        <w:t> </w:t>
      </w:r>
    </w:p>
    <w:tbl>
      <w:tblPr>
        <w:tblW w:w="4885" w:type="dxa"/>
        <w:jc w:val="left"/>
        <w:tblInd w:w="0" w:type="dxa"/>
        <w:tblLayout w:type="fixed"/>
        <w:tblCellMar>
          <w:top w:w="0" w:type="dxa"/>
          <w:left w:w="0" w:type="dxa"/>
          <w:bottom w:w="0" w:type="dxa"/>
          <w:right w:w="0" w:type="dxa"/>
        </w:tblCellMar>
      </w:tblPr>
      <w:tblGrid>
        <w:gridCol w:w="2840"/>
        <w:gridCol w:w="120"/>
        <w:gridCol w:w="190"/>
        <w:gridCol w:w="1660"/>
        <w:gridCol w:w="75"/>
      </w:tblGrid>
      <w:tr>
        <w:trPr/>
        <w:tc>
          <w:tcPr>
            <w:tcW w:w="28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840"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Underwriters</w:t>
            </w:r>
          </w:p>
        </w:tc>
        <w:tc>
          <w:tcPr>
            <w:tcW w:w="120" w:type="dxa"/>
            <w:tcBorders/>
            <w:vAlign w:val="center"/>
          </w:tcPr>
          <w:p>
            <w:pPr>
              <w:pStyle w:val="TableContents"/>
              <w:bidi w:val="0"/>
              <w:spacing w:before="0" w:after="283"/>
              <w:jc w:val="left"/>
              <w:rPr/>
            </w:pPr>
            <w:r>
              <w:rPr/>
              <w:t>  </w:t>
            </w:r>
          </w:p>
        </w:tc>
        <w:tc>
          <w:tcPr>
            <w:tcW w:w="1850" w:type="dxa"/>
            <w:gridSpan w:val="2"/>
            <w:tcBorders/>
            <w:vAlign w:val="center"/>
          </w:tcPr>
          <w:p>
            <w:pPr>
              <w:pStyle w:val="TableContents"/>
              <w:bidi w:val="0"/>
              <w:spacing w:before="0" w:after="0"/>
              <w:jc w:val="center"/>
              <w:rPr>
                <w:b/>
                <w:spacing w:val="0"/>
              </w:rPr>
            </w:pPr>
            <w:r>
              <w:rPr>
                <w:b/>
                <w:spacing w:val="0"/>
              </w:rPr>
              <w:t>Principal Amount</w:t>
              <w:br/>
              <w:t>of Notes</w:t>
            </w:r>
          </w:p>
        </w:tc>
        <w:tc>
          <w:tcPr>
            <w:tcW w:w="75"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Raymond James &amp; Associates, Inc.</w:t>
            </w:r>
          </w:p>
        </w:tc>
        <w:tc>
          <w:tcPr>
            <w:tcW w:w="12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1660" w:type="dxa"/>
            <w:tcBorders/>
            <w:shd w:fill="CCEEFF" w:val="clear"/>
            <w:vAlign w:val="center"/>
          </w:tcPr>
          <w:p>
            <w:pPr>
              <w:pStyle w:val="TableContents"/>
              <w:bidi w:val="0"/>
              <w:spacing w:before="0" w:after="283"/>
              <w:jc w:val="right"/>
              <w:rPr/>
            </w:pPr>
            <w:r>
              <w:rPr/>
              <w:t>55,000,000</w:t>
            </w:r>
          </w:p>
        </w:tc>
        <w:tc>
          <w:tcPr>
            <w:tcW w:w="75" w:type="dxa"/>
            <w:tcBorders/>
            <w:shd w:fill="CCEEFF"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ING Financial Markets LLC</w:t>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660" w:type="dxa"/>
            <w:tcBorders/>
            <w:vAlign w:val="center"/>
          </w:tcPr>
          <w:p>
            <w:pPr>
              <w:pStyle w:val="TableContents"/>
              <w:bidi w:val="0"/>
              <w:spacing w:before="0" w:after="283"/>
              <w:jc w:val="right"/>
              <w:rPr/>
            </w:pPr>
            <w:r>
              <w:rPr/>
              <w:t>20,000,000</w:t>
            </w:r>
          </w:p>
        </w:tc>
        <w:tc>
          <w:tcPr>
            <w:tcW w:w="75"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Keefe, Bruyette &amp; Woods Inc.</w:t>
            </w:r>
          </w:p>
        </w:tc>
        <w:tc>
          <w:tcPr>
            <w:tcW w:w="12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660" w:type="dxa"/>
            <w:tcBorders/>
            <w:shd w:fill="CCEEFF" w:val="clear"/>
            <w:vAlign w:val="center"/>
          </w:tcPr>
          <w:p>
            <w:pPr>
              <w:pStyle w:val="TableContents"/>
              <w:bidi w:val="0"/>
              <w:spacing w:before="0" w:after="283"/>
              <w:jc w:val="right"/>
              <w:rPr/>
            </w:pPr>
            <w:r>
              <w:rPr/>
              <w:t>9,500,000</w:t>
            </w:r>
          </w:p>
        </w:tc>
        <w:tc>
          <w:tcPr>
            <w:tcW w:w="75" w:type="dxa"/>
            <w:tcBorders/>
            <w:shd w:fill="CCEEFF"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Oppenheimer &amp; Co. Inc.</w:t>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660" w:type="dxa"/>
            <w:tcBorders/>
            <w:vAlign w:val="center"/>
          </w:tcPr>
          <w:p>
            <w:pPr>
              <w:pStyle w:val="TableContents"/>
              <w:bidi w:val="0"/>
              <w:spacing w:before="0" w:after="283"/>
              <w:jc w:val="right"/>
              <w:rPr/>
            </w:pPr>
            <w:r>
              <w:rPr/>
              <w:t>9,500,000</w:t>
            </w:r>
          </w:p>
        </w:tc>
        <w:tc>
          <w:tcPr>
            <w:tcW w:w="75"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 Riley Securities, Inc.</w:t>
            </w:r>
          </w:p>
        </w:tc>
        <w:tc>
          <w:tcPr>
            <w:tcW w:w="12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660" w:type="dxa"/>
            <w:tcBorders/>
            <w:shd w:fill="CCEEFF" w:val="clear"/>
            <w:vAlign w:val="center"/>
          </w:tcPr>
          <w:p>
            <w:pPr>
              <w:pStyle w:val="TableContents"/>
              <w:bidi w:val="0"/>
              <w:spacing w:before="0" w:after="283"/>
              <w:jc w:val="right"/>
              <w:rPr/>
            </w:pPr>
            <w:r>
              <w:rPr/>
              <w:t>3,000,000</w:t>
            </w:r>
          </w:p>
        </w:tc>
        <w:tc>
          <w:tcPr>
            <w:tcW w:w="75" w:type="dxa"/>
            <w:tcBorders/>
            <w:shd w:fill="CCEEFF"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Clear Street LLC</w:t>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660" w:type="dxa"/>
            <w:tcBorders/>
            <w:vAlign w:val="center"/>
          </w:tcPr>
          <w:p>
            <w:pPr>
              <w:pStyle w:val="TableContents"/>
              <w:bidi w:val="0"/>
              <w:spacing w:before="0" w:after="283"/>
              <w:jc w:val="right"/>
              <w:rPr/>
            </w:pPr>
            <w:r>
              <w:rPr/>
              <w:t>3,000,000</w:t>
            </w:r>
          </w:p>
        </w:tc>
        <w:tc>
          <w:tcPr>
            <w:tcW w:w="75"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Total</w:t>
            </w:r>
          </w:p>
        </w:tc>
        <w:tc>
          <w:tcPr>
            <w:tcW w:w="12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0"/>
              <w:jc w:val="left"/>
              <w:rPr>
                <w:b/>
                <w:spacing w:val="0"/>
              </w:rPr>
            </w:pPr>
            <w:r>
              <w:rPr>
                <w:b/>
                <w:spacing w:val="0"/>
              </w:rPr>
              <w:t>$</w:t>
            </w:r>
          </w:p>
        </w:tc>
        <w:tc>
          <w:tcPr>
            <w:tcW w:w="1660" w:type="dxa"/>
            <w:tcBorders/>
            <w:shd w:fill="CCEEFF" w:val="clear"/>
            <w:vAlign w:val="center"/>
          </w:tcPr>
          <w:p>
            <w:pPr>
              <w:pStyle w:val="TableContents"/>
              <w:bidi w:val="0"/>
              <w:spacing w:before="0" w:after="0"/>
              <w:jc w:val="right"/>
              <w:rPr>
                <w:b/>
                <w:spacing w:val="0"/>
              </w:rPr>
            </w:pPr>
            <w:r>
              <w:rPr>
                <w:b/>
                <w:spacing w:val="0"/>
              </w:rPr>
              <w:t>100,000,000</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28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underwriting agreement provides that the obligations of the several underwriters to pay for and accept delivery of the Notes are subject to certain conditions precedent such as the receipt by the underwriters of officers’ certificates and legal opinions. The underwriting agreement provides that the underwriters will purchase all of the Notes if any of the Notes are purchased. If an underwriter defaults, the underwriting agreement provides that, under the circumstances, the purchase commitments of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non-defaulting</w:t>
      </w:r>
    </w:p>
    <w:p>
      <w:pPr>
        <w:pStyle w:val="TextBody"/>
        <w:bidi w:val="0"/>
        <w:spacing w:before="240" w:after="0"/>
        <w:jc w:val="left"/>
        <w:rPr>
          <w:rFonts w:ascii="Times New Roman" w:hAnsi="Times New Roman"/>
          <w:sz w:val="20"/>
        </w:rPr>
      </w:pPr>
      <w:r>
        <w:rPr>
          <w:rFonts w:ascii="Times New Roman" w:hAnsi="Times New Roman"/>
          <w:sz w:val="20"/>
        </w:rPr>
        <w:t xml:space="preserve">underwriters may be increased or the underwriting agreement may be terminated. We have agreed to indemnify the underwriters against certain liabilities, including liabilities under the Securities Act of 1933, as amended (the “Securities Act”), or to contribute to payments the underwriters may be required to make in respect of those liabilities.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underwriters are offering the Notes, subject to their acceptance of the Notes from us and subject to prior sale. The underwriters reserve the right to withdraw, cancel or modify offers to the public and to reject orders in whole or in part.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Commissions and Discounts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An underwriting discount of 1.500% per Note will be paid by us. The underwriters have advised us that they propose initially to offer the Notes to the public at the public offering price on the cover of this prospectus supplement and may offer the Notes to certain other Financial Institution Regulatory Authority, Inc. (FINRA) members at that price less a concession not in excess of 0.400% of the aggregate principal amount of the Notes. The underwriters may allow, and the dealers may reallow, a discount not in excess of 0.25% of the aggregate principal amount of the Notes. After the initial offering of the Notes to the public, the public offering price and such concessions may be changed. No such change shall change the amount of proceeds to be received by us as set forth on the cover page of this prospectus supplement.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following table shows the total underwriting discount that we are to pay to the underwriters in connection with this offering. </w:t>
      </w:r>
    </w:p>
    <w:p>
      <w:pPr>
        <w:pStyle w:val="TextBody"/>
        <w:bidi w:val="0"/>
        <w:spacing w:before="0" w:after="0"/>
        <w:jc w:val="left"/>
        <w:rPr>
          <w:spacing w:val="0"/>
        </w:rPr>
      </w:pPr>
      <w:r>
        <w:rPr>
          <w:spacing w:val="0"/>
        </w:rPr>
        <w:t> </w:t>
      </w:r>
    </w:p>
    <w:tbl>
      <w:tblPr>
        <w:tblW w:w="5425" w:type="dxa"/>
        <w:jc w:val="left"/>
        <w:tblInd w:w="0" w:type="dxa"/>
        <w:tblLayout w:type="fixed"/>
        <w:tblCellMar>
          <w:top w:w="0" w:type="dxa"/>
          <w:left w:w="0" w:type="dxa"/>
          <w:bottom w:w="0" w:type="dxa"/>
          <w:right w:w="0" w:type="dxa"/>
        </w:tblCellMar>
      </w:tblPr>
      <w:tblGrid>
        <w:gridCol w:w="2615"/>
        <w:gridCol w:w="120"/>
        <w:gridCol w:w="64"/>
        <w:gridCol w:w="856"/>
        <w:gridCol w:w="275"/>
        <w:gridCol w:w="60"/>
        <w:gridCol w:w="140"/>
        <w:gridCol w:w="1220"/>
        <w:gridCol w:w="75"/>
      </w:tblGrid>
      <w:tr>
        <w:trPr/>
        <w:tc>
          <w:tcPr>
            <w:tcW w:w="26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6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0"/>
              <w:jc w:val="center"/>
              <w:rPr>
                <w:b/>
                <w:spacing w:val="0"/>
              </w:rPr>
            </w:pPr>
            <w:r>
              <w:rPr>
                <w:b/>
                <w:spacing w:val="0"/>
              </w:rPr>
              <w:t>Per Note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0"/>
              <w:jc w:val="center"/>
              <w:rPr>
                <w:b/>
                <w:spacing w:val="0"/>
              </w:rPr>
            </w:pPr>
            <w:r>
              <w:rPr>
                <w:b/>
                <w:spacing w:val="0"/>
              </w:rPr>
              <w:t>Total</w:t>
            </w:r>
          </w:p>
        </w:tc>
        <w:tc>
          <w:tcPr>
            <w:tcW w:w="75"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Public offering price</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100.705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100,705,000</w:t>
            </w:r>
          </w:p>
        </w:tc>
        <w:tc>
          <w:tcPr>
            <w:tcW w:w="75" w:type="dxa"/>
            <w:tcBorders/>
            <w:shd w:fill="CCEEFF" w:val="clear"/>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Underwriting discount</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1.500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1,500,000</w:t>
            </w:r>
          </w:p>
        </w:tc>
        <w:tc>
          <w:tcPr>
            <w:tcW w:w="75"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Proceeds, before expenses, to us</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99.205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99,205,000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public offering price set forth above does not include accrued and unpaid interest of $262,500 from and including September 19, 2025 up to, but not including, the date of delivery, which will be paid by the purchasers of the Notes offered hereby (the “Aggregate Accrued Interest”). On March 19, 2026, we will pay the Aggregate Accrued Interest to the holders of the Notes offered hereby as of the applicable record date along with the interest accrued on the Notes offered hereby from the date of delivery to such interest payment date.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S-41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The expenses of the offering, not including the underwriting discount, are estimated at approximately $300,000 and are payable by us. We will pay the fees and expenses (including the reasonable fees and disbursements of underwriters’ counsel in an amount not to exceed $7,500) incident to securing any required review by FINRA of the terms of the sale of the Notes in this offering.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No Sales of Similar Securities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Subject to certain exceptions, we have agreed for a period of 90 days after the date of this prospectus supplement not to directly or indirectly offer, sell, short sell or otherwise dispose of, or enter into any agreement to offer, sell, short sell or otherwise dispose of, any debt securities issued or guaranteed by us or other securities convertible into or exchangeable or exercisable for debt securities issued or guaranteed by us or derivative of debt securities issued or guaranteed by us without first obtaining the written consent of the representatives. This consent may be given at any time without public notice.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Listing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While a trading market developed after issuing the Existing Notes, we cannot assure you that an active and liquid market for the Notes will be maintained. The Notes will not be listed on any securities exchange or quoted on any automated dealer quotation system. Although certain of the underwriters have informed us that they intend to continue to make a market in the Notes, as permitted by applicable laws and regulations, they are not obligated to do so, and may discontinue any such market-making activities at any time without notice. Accordingly, no assurance can be given as to the liquidity or maintenance of a public trading market for the Notes. If an active public trading market for the Notes is not maintained, the market price and liquidity of the Notes may be adversely affected.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Stabilization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 connection with the offering, the underwriters may purchase and sell Notes in the open market and may impose a penalty bid. These transactions may include short sales, purchases to cover positions created by short sales and stabilizing transactions. Short sales involve the sale by an underwriter of a greater number of Notes than required to be purchased in this offering. Covering transactions involve purchases of the Notes in the open market after the distribution has been completed in order to cover short positions. Stabilizing transactions consist of certain bids or purchases of Notes made for the purpose of preventing or retarding a decline in the market price of the Notes while the offering is in progress.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Any of these activities may cause the price of the Notes to be higher than the price that otherwise would exist in the open market in the absence of such transactions. These transactions may be affected in the over-the-counter market or otherwise and, if commenced, may be discontinued at any time without any notice relating thereto.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Neither we nor the underwriters make any representation or prediction as to the direction or magnitude of any effect that the transactions described above may have on the price of the Notes. In addition, neither we nor the underwriters make any representation that any underwriter will engage in these transactions or that these transactions, once commenced, will not be discontinued without notice.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Electronic Distribution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 prospectus in electronic format may be made available by e-mail or on the websites or through online services maintained by one or more of the underwriters participating in this offering, or by their respective affiliates. In those cases, prospective investors may view offering terms online and may be allowed to place orders online. The underwriters may agree with us to allocate a limited principal amount of the Notes for sale to online brokerage account holders. Any such allocation for online distributions will be made by the underwriters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S-42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on the same basis as other allocations. Other than the prospectus in electronic format, information on the underwriters’ websites and any information contained in any other website maintained by any of the underwriters or their respective affiliates is not part of this prospectus supplement or the registration statement of which this prospectus supplement is a part, has not been approved and/or endorsed by us or the underwriters and should not be relied on by investors.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Other Relationships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underwriters and their respective affiliates have provided in the past and may provide from time to time in the future in the ordinary course of their business certain commercial banking, financial advisory, investment banking and other services to us, our portfolio companies or our affiliates for which they have received or will be entitled to receive separate fees. In particular, the underwriters or their respective affiliates may execute transactions with us, on behalf of us, any of our portfolio companies or our affiliates. In addition, the underwriters or their respective affiliates may act as arrangers, underwriters or placement agents for companies whose securities are sold to or whose loans are syndicated to us, our portfolio companies or our affiliates.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underwriters or their respective affiliates may also trade in our securities, securities of our portfolio companies or other financial instruments related thereto for their own respective accounts or for the account of others and may extend loans or financing directly or through derivative transactions to us, any of our portfolio companies or our affiliates.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After the date of this prospectus supplement, the underwriters and their respective affiliates may from time to time obtain information regarding specific portfolio companies or us that may not be available to the general public. Any such information is obtained by the underwriters and their respective affiliates in the ordinary course of their respective business and not in connection with the offering of the Notes. In addition, after the offering period for the sale of the Notes, the underwriters or their respective affiliates may develop analyses or opinions related to us or our portfolio companies and buy or sell interests in one or more of our portfolio companies on behalf of their proprietary or client accounts and may engage in competitive activities. There is no obligation on behalf of these parties to disclose their respective analyses, opinions or purchase and sale activities regarding any portfolio company or regarding us to our noteholders or any other persons.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respective affiliates may also make investment recommendations and/or publish or express independent research views in respect of such securities or financial instruments and may hold, or recommend to clients that they acquire, long and/or short positions in such securities and instruments.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principal business address of Raymond James &amp; Associates, Inc. is 880 Carillon Parkway, St. Petersburg, Florida 33716. The principal business address of ING Financial Markets LLC is 1133 Avenue of the Americas, New York, New York 10036.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Alternative Settlement Cycle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We expect that delivery of the Notes will be made against payment therefor on or about October 3, 2025, which will be the second business day following the date of pricing of the Notes (such settlement cycle being herein referred to as “T+2”). Under Rule 15c6-1 under the Exchange Act, trades in the secondary market generally are required to settle in one business day, unless the parties to any such trade expressly agree otherwise. Accordingly, purchasers who wish to trade the Notes on any date prior to the business day before delivery thereof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S-43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will be required, by virtue of the fact that the Notes initially will settle T+2, to specify an alternate settlement cycle at the time of any such trade to prevent a failed settlement. Purchasers of the Notes who wish to trade the Notes prior to their date of delivery hereunder should consult their own advisors.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Other Jurisdictions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Other than in the United States, no action has been taken by us or the underwriters that would permit a public offering of the Notes offered by this prospectus supplement in any jurisdiction where action for that purpose is required. The Notes offered by this prospectus supplement may not be offered or sold, directly or indirectly, nor may this prospectus supplement or any other offering material or advertisements in connection with the offer and sale of any such Notes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 relating to the offering and the distribution of this prospectus supplement. This prospectus supplement and the accompanying prospectus do not constitute an offer to sell or a solicitation of an offer to buy the Notes offered by this prospectus supplement and the accompanying prospectus in any jurisdiction in which such an offer or a solicitation is unlawful.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S-44 </w:t>
      </w: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LEGAL MATTERS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Certain legal matters regarding the Notes offered hereby will be passed upon for us by Eversheds Sutherland (US) LLP, Washington, D.C. Certain legal matters regarding the Notes offered hereby will be passed upon for the underwriters by Dechert LLP, Washington, D.C.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S-45 </w:t>
      </w: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INCORPORATION BY REFERENCE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This prospectus supplement is part of a registration statement that we have filed with the SEC. The information incorporated by reference is considered to be part of this prospectus supplement. Any reports filed by us with the SEC subsequent to the date of this prospectus supplement will automatically update and, where applicable, supersede any information contained in this prospectus supplement and any document incorporated by reference herein.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We incorporate by reference in this prospectus supplement our filing listed below and any future filings that we may file with the SEC pursuant to Sections 13(a), 13(c), 14 or 15(d) of the Exchange Act, subsequent to the date of this prospectus supplement, until all of the securities offered by this prospectus supplement have been sold or we otherwise terminate the offering of these securities (such reports and other documents deemed to be incorporated by reference into this prospectus supplement and to be part hereof from the date of filing of such reports and other documents); provided, however, that information “furnished” under Item 2.02 or Item 7.01 of Form 8-K, or other information “furnished” to the SEC pursuant to the Exchange Act will not be incorporated by reference into this prospectus supplement: </w:t>
      </w:r>
    </w:p>
    <w:p>
      <w:pPr>
        <w:pStyle w:val="TextBody"/>
        <w:bidi w:val="0"/>
        <w:spacing w:before="0" w:after="0"/>
        <w:ind w:left="0" w:right="0" w:hanging="0"/>
        <w:jc w:val="left"/>
        <w:rPr>
          <w:spacing w:val="0"/>
        </w:rPr>
      </w:pPr>
      <w:r>
        <w:rPr>
          <w:spacing w:val="0"/>
        </w:rPr>
        <w:t> </w:t>
      </w:r>
    </w:p>
    <w:tbl>
      <w:tblPr>
        <w:tblW w:w="9730" w:type="dxa"/>
        <w:jc w:val="left"/>
        <w:tblInd w:w="0" w:type="dxa"/>
        <w:tblLayout w:type="fixed"/>
        <w:tblCellMar>
          <w:top w:w="0" w:type="dxa"/>
          <w:left w:w="0" w:type="dxa"/>
          <w:bottom w:w="0" w:type="dxa"/>
          <w:right w:w="0" w:type="dxa"/>
        </w:tblCellMar>
      </w:tblPr>
      <w:tblGrid>
        <w:gridCol w:w="75"/>
        <w:gridCol w:w="110"/>
        <w:gridCol w:w="60"/>
        <w:gridCol w:w="94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85" w:type="dxa"/>
            <w:tcBorders/>
            <w:vAlign w:val="center"/>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December 31, 2024, filed with the SEC on March 6, 2025; </w:t>
            </w:r>
          </w:p>
        </w:tc>
      </w:tr>
    </w:tbl>
    <w:p>
      <w:pPr>
        <w:pStyle w:val="TextBody"/>
        <w:bidi w:val="0"/>
        <w:spacing w:before="0" w:after="0"/>
        <w:ind w:left="0" w:right="0" w:hanging="0"/>
        <w:jc w:val="left"/>
        <w:rPr>
          <w:spacing w:val="0"/>
        </w:rPr>
      </w:pPr>
      <w:r>
        <w:rPr>
          <w:spacing w:val="0"/>
        </w:rPr>
        <w:t> </w:t>
      </w:r>
    </w:p>
    <w:tbl>
      <w:tblPr>
        <w:tblW w:w="9685" w:type="dxa"/>
        <w:jc w:val="left"/>
        <w:tblInd w:w="0" w:type="dxa"/>
        <w:tblLayout w:type="fixed"/>
        <w:tblCellMar>
          <w:top w:w="0" w:type="dxa"/>
          <w:left w:w="0" w:type="dxa"/>
          <w:bottom w:w="0" w:type="dxa"/>
          <w:right w:w="0" w:type="dxa"/>
        </w:tblCellMar>
      </w:tblPr>
      <w:tblGrid>
        <w:gridCol w:w="75"/>
        <w:gridCol w:w="110"/>
        <w:gridCol w:w="60"/>
        <w:gridCol w:w="94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40" w:type="dxa"/>
            <w:tcBorders/>
            <w:vAlign w:val="center"/>
          </w:tcPr>
          <w:p>
            <w:pPr>
              <w:pStyle w:val="TableContents"/>
              <w:bidi w:val="0"/>
              <w:spacing w:before="0" w:after="0"/>
              <w:jc w:val="left"/>
              <w:rPr/>
            </w:pPr>
            <w:r>
              <w:rPr>
                <w:rFonts w:ascii="Times New Roman" w:hAnsi="Times New Roman"/>
                <w:sz w:val="20"/>
              </w:rPr>
              <w:t xml:space="preserve">our Quarterly Report on </w:t>
            </w:r>
            <w:hyperlink r:id="rId4">
              <w:r>
                <w:rPr>
                  <w:rStyle w:val="InternetLink"/>
                  <w:rFonts w:ascii="Times New Roman" w:hAnsi="Times New Roman"/>
                  <w:sz w:val="20"/>
                </w:rPr>
                <w:t>Form 10-Q</w:t>
              </w:r>
            </w:hyperlink>
            <w:r>
              <w:rPr>
                <w:rFonts w:ascii="Times New Roman" w:hAnsi="Times New Roman"/>
                <w:sz w:val="20"/>
              </w:rPr>
              <w:t xml:space="preserve"> for the fiscal quarter ended March 31, 2025, filed with the SEC on May 8, 2025; </w:t>
            </w:r>
          </w:p>
        </w:tc>
      </w:tr>
    </w:tbl>
    <w:p>
      <w:pPr>
        <w:pStyle w:val="TextBody"/>
        <w:bidi w:val="0"/>
        <w:spacing w:before="0" w:after="0"/>
        <w:ind w:left="0" w:right="0" w:hanging="0"/>
        <w:jc w:val="left"/>
        <w:rPr>
          <w:spacing w:val="0"/>
        </w:rPr>
      </w:pPr>
      <w:r>
        <w:rPr>
          <w:spacing w:val="0"/>
        </w:rPr>
        <w:t> </w:t>
      </w:r>
    </w:p>
    <w:tbl>
      <w:tblPr>
        <w:tblW w:w="9745" w:type="dxa"/>
        <w:jc w:val="left"/>
        <w:tblInd w:w="0" w:type="dxa"/>
        <w:tblLayout w:type="fixed"/>
        <w:tblCellMar>
          <w:top w:w="0" w:type="dxa"/>
          <w:left w:w="0" w:type="dxa"/>
          <w:bottom w:w="0" w:type="dxa"/>
          <w:right w:w="0" w:type="dxa"/>
        </w:tblCellMar>
      </w:tblPr>
      <w:tblGrid>
        <w:gridCol w:w="75"/>
        <w:gridCol w:w="110"/>
        <w:gridCol w:w="60"/>
        <w:gridCol w:w="95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00" w:type="dxa"/>
            <w:tcBorders/>
            <w:vAlign w:val="center"/>
          </w:tcPr>
          <w:p>
            <w:pPr>
              <w:pStyle w:val="TableContents"/>
              <w:bidi w:val="0"/>
              <w:spacing w:before="0" w:after="0"/>
              <w:jc w:val="left"/>
              <w:rPr/>
            </w:pPr>
            <w:r>
              <w:rPr>
                <w:rFonts w:ascii="Times New Roman" w:hAnsi="Times New Roman"/>
                <w:sz w:val="20"/>
              </w:rPr>
              <w:t xml:space="preserve">our Quarterly Report on </w:t>
            </w:r>
            <w:hyperlink r:id="rId5">
              <w:r>
                <w:rPr>
                  <w:rStyle w:val="InternetLink"/>
                  <w:rFonts w:ascii="Times New Roman" w:hAnsi="Times New Roman"/>
                  <w:sz w:val="20"/>
                </w:rPr>
                <w:t>Form 10-Q</w:t>
              </w:r>
            </w:hyperlink>
            <w:r>
              <w:rPr>
                <w:rFonts w:ascii="Times New Roman" w:hAnsi="Times New Roman"/>
                <w:sz w:val="20"/>
              </w:rPr>
              <w:t xml:space="preserve"> for the fiscal quarter ended June 30, 2025, filed with the SEC on August 7, 2025; </w:t>
            </w:r>
          </w:p>
        </w:tc>
      </w:tr>
    </w:tbl>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rFonts w:ascii="Times New Roman" w:hAnsi="Times New Roman"/>
                <w:sz w:val="20"/>
              </w:rPr>
              <w:t xml:space="preserve">our </w:t>
            </w:r>
            <w:hyperlink r:id="rId6">
              <w:r>
                <w:rPr>
                  <w:rStyle w:val="InternetLink"/>
                  <w:rFonts w:ascii="Times New Roman" w:hAnsi="Times New Roman"/>
                  <w:sz w:val="20"/>
                </w:rPr>
                <w:t>Definitive Proxy Statement on Schedule 14A</w:t>
              </w:r>
            </w:hyperlink>
            <w:r>
              <w:rPr>
                <w:rFonts w:ascii="Times New Roman" w:hAnsi="Times New Roman"/>
                <w:sz w:val="20"/>
              </w:rPr>
              <w:t xml:space="preserve">, filed with the SEC on March 21, 2025 (to the extent incorporated by reference in Part III of our Annual Report on </w:t>
            </w:r>
            <w:hyperlink r:id="rId7">
              <w:r>
                <w:rPr>
                  <w:rStyle w:val="InternetLink"/>
                  <w:rFonts w:ascii="Times New Roman" w:hAnsi="Times New Roman"/>
                  <w:sz w:val="20"/>
                </w:rPr>
                <w:t>Form 10-K</w:t>
              </w:r>
            </w:hyperlink>
            <w:r>
              <w:rPr>
                <w:rFonts w:ascii="Times New Roman" w:hAnsi="Times New Roman"/>
                <w:sz w:val="20"/>
              </w:rPr>
              <w:t xml:space="preserve"> for the fiscal year ended December 31, 2024); and </w:t>
            </w:r>
          </w:p>
        </w:tc>
      </w:tr>
    </w:tbl>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rFonts w:ascii="Times New Roman" w:hAnsi="Times New Roman"/>
                <w:sz w:val="20"/>
              </w:rPr>
              <w:t xml:space="preserve">our Current Reports on Form 8-K (other than information furnished rather than filed in accordance with the SEC rules), filed with the SEC on </w:t>
            </w:r>
            <w:hyperlink r:id="rId8">
              <w:r>
                <w:rPr>
                  <w:rStyle w:val="InternetLink"/>
                  <w:rFonts w:ascii="Times New Roman" w:hAnsi="Times New Roman"/>
                  <w:sz w:val="20"/>
                </w:rPr>
                <w:t>March 13, 2025</w:t>
              </w:r>
            </w:hyperlink>
            <w:r>
              <w:rPr>
                <w:rFonts w:ascii="Times New Roman" w:hAnsi="Times New Roman"/>
                <w:sz w:val="20"/>
              </w:rPr>
              <w:t>, </w:t>
            </w:r>
            <w:hyperlink r:id="rId9">
              <w:r>
                <w:rPr>
                  <w:rStyle w:val="InternetLink"/>
                  <w:rFonts w:ascii="Times New Roman" w:hAnsi="Times New Roman"/>
                  <w:sz w:val="20"/>
                </w:rPr>
                <w:t>March 19, 2025</w:t>
              </w:r>
            </w:hyperlink>
            <w:r>
              <w:rPr>
                <w:rFonts w:ascii="Times New Roman" w:hAnsi="Times New Roman"/>
                <w:sz w:val="20"/>
              </w:rPr>
              <w:t>, </w:t>
            </w:r>
            <w:hyperlink r:id="rId10">
              <w:r>
                <w:rPr>
                  <w:rStyle w:val="InternetLink"/>
                  <w:rFonts w:ascii="Times New Roman" w:hAnsi="Times New Roman"/>
                  <w:sz w:val="20"/>
                </w:rPr>
                <w:t>April 17, 2025</w:t>
              </w:r>
            </w:hyperlink>
            <w:r>
              <w:rPr>
                <w:rFonts w:ascii="Times New Roman" w:hAnsi="Times New Roman"/>
                <w:sz w:val="20"/>
              </w:rPr>
              <w:t xml:space="preserve">, and </w:t>
            </w:r>
            <w:hyperlink r:id="rId11">
              <w:r>
                <w:rPr>
                  <w:rStyle w:val="InternetLink"/>
                  <w:rFonts w:ascii="Times New Roman" w:hAnsi="Times New Roman"/>
                  <w:sz w:val="20"/>
                </w:rPr>
                <w:t>June 12, 2025</w:t>
              </w:r>
            </w:hyperlink>
            <w:r>
              <w:rPr>
                <w:rFonts w:ascii="Times New Roman" w:hAnsi="Times New Roman"/>
                <w:sz w:val="20"/>
              </w:rPr>
              <w:t xml:space="preserve">. </w:t>
            </w:r>
          </w:p>
        </w:tc>
      </w:tr>
    </w:tbl>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Any reports filed by us with the SEC before the date that any offering of any securities by means of this prospectus supplement and the accompanying prospectus is terminated will automatically update and, where applicable, supersede any information contained in this prospectus supplement and the accompanying prospectus or incorporated by reference into this prospectus supplement and the accompanying prospectus.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To obtain copies of these filings, see “Available Information” in the accompanying prospectus. </w:t>
      </w:r>
    </w:p>
    <w:p>
      <w:pPr>
        <w:pStyle w:val="TextBody"/>
        <w:bidi w:val="0"/>
        <w:spacing w:before="0" w:after="0"/>
        <w:ind w:left="0" w:right="0" w:hanging="0"/>
        <w:jc w:val="left"/>
        <w:rPr>
          <w:spacing w:val="0"/>
        </w:rPr>
      </w:pPr>
      <w:r>
        <w:rPr>
          <w:spacing w:val="0"/>
        </w:rPr>
        <w:t> </w:t>
      </w:r>
    </w:p>
    <w:p>
      <w:pPr>
        <w:pStyle w:val="TextBody"/>
        <w:bidi w:val="0"/>
        <w:ind w:left="0" w:right="0" w:hanging="0"/>
        <w:jc w:val="center"/>
        <w:rPr>
          <w:rFonts w:ascii="Times New Roman" w:hAnsi="Times New Roman"/>
          <w:spacing w:val="0"/>
          <w:sz w:val="20"/>
        </w:rPr>
      </w:pPr>
      <w:r>
        <w:rPr>
          <w:rFonts w:ascii="Times New Roman" w:hAnsi="Times New Roman"/>
          <w:spacing w:val="0"/>
          <w:sz w:val="20"/>
        </w:rPr>
        <w:t xml:space="preserve">S-46 </w:t>
      </w:r>
      <w:r>
        <w:br w:type="page"/>
      </w:r>
    </w:p>
    <w:p>
      <w:pPr>
        <w:pStyle w:val="HorizontalLine"/>
        <w:bidi w:val="0"/>
        <w:jc w:val="left"/>
        <w:rPr/>
      </w:pPr>
      <w:r>
        <w:rPr/>
      </w:r>
    </w:p>
    <w:p>
      <w:pPr>
        <w:pStyle w:val="TextBody"/>
        <w:bidi w:val="0"/>
        <w:spacing w:before="0" w:after="0"/>
        <w:jc w:val="left"/>
        <w:rPr>
          <w:rFonts w:ascii="Times New Roman" w:hAnsi="Times New Roman"/>
          <w:b/>
          <w:sz w:val="16"/>
        </w:rPr>
      </w:pPr>
      <w:r>
        <w:rPr>
          <w:rFonts w:ascii="Times New Roman" w:hAnsi="Times New Roman"/>
          <w:b/>
          <w:sz w:val="16"/>
        </w:rPr>
        <w:t xml:space="preserve">PROSPECTUS </w:t>
      </w:r>
    </w:p>
    <w:p>
      <w:pPr>
        <w:pStyle w:val="TextBody"/>
        <w:bidi w:val="0"/>
        <w:spacing w:before="80" w:after="0"/>
        <w:jc w:val="center"/>
        <w:rPr>
          <w:rFonts w:ascii="Times New Roman" w:hAnsi="Times New Roman"/>
          <w:b/>
          <w:sz w:val="32"/>
        </w:rPr>
      </w:pPr>
      <w:r>
        <w:rPr>
          <w:rFonts w:ascii="Times New Roman" w:hAnsi="Times New Roman"/>
          <w:b/>
          <w:sz w:val="32"/>
        </w:rPr>
        <w:t xml:space="preserve">$600,000,000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344295" cy="6858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2"/>
                    <a:stretch>
                      <a:fillRect/>
                    </a:stretch>
                  </pic:blipFill>
                  <pic:spPr bwMode="auto">
                    <a:xfrm>
                      <a:off x="0" y="0"/>
                      <a:ext cx="1344295" cy="685800"/>
                    </a:xfrm>
                    <a:prstGeom prst="rect">
                      <a:avLst/>
                    </a:prstGeom>
                  </pic:spPr>
                </pic:pic>
              </a:graphicData>
            </a:graphic>
          </wp:inline>
        </w:drawing>
      </w:r>
      <w:r>
        <w:rPr/>
        <w:t xml:space="preserve"> </w:t>
      </w:r>
    </w:p>
    <w:p>
      <w:pPr>
        <w:pStyle w:val="TextBody"/>
        <w:bidi w:val="0"/>
        <w:spacing w:before="80" w:after="0"/>
        <w:jc w:val="center"/>
        <w:rPr>
          <w:rFonts w:ascii="Times New Roman" w:hAnsi="Times New Roman"/>
          <w:b/>
          <w:sz w:val="24"/>
        </w:rPr>
      </w:pPr>
      <w:r>
        <w:rPr>
          <w:rFonts w:ascii="Times New Roman" w:hAnsi="Times New Roman"/>
          <w:b/>
          <w:sz w:val="24"/>
        </w:rPr>
        <w:t xml:space="preserve">Common Stock </w:t>
      </w:r>
    </w:p>
    <w:p>
      <w:pPr>
        <w:pStyle w:val="TextBody"/>
        <w:bidi w:val="0"/>
        <w:spacing w:before="0" w:after="0"/>
        <w:jc w:val="center"/>
        <w:rPr>
          <w:rFonts w:ascii="Times New Roman" w:hAnsi="Times New Roman"/>
          <w:b/>
          <w:sz w:val="24"/>
        </w:rPr>
      </w:pPr>
      <w:r>
        <w:rPr>
          <w:rFonts w:ascii="Times New Roman" w:hAnsi="Times New Roman"/>
          <w:b/>
          <w:sz w:val="24"/>
        </w:rPr>
        <w:t xml:space="preserve">Preferred Stock </w:t>
      </w:r>
    </w:p>
    <w:p>
      <w:pPr>
        <w:pStyle w:val="TextBody"/>
        <w:bidi w:val="0"/>
        <w:spacing w:before="0" w:after="0"/>
        <w:jc w:val="center"/>
        <w:rPr>
          <w:rFonts w:ascii="Times New Roman" w:hAnsi="Times New Roman"/>
          <w:b/>
          <w:sz w:val="24"/>
        </w:rPr>
      </w:pPr>
      <w:r>
        <w:rPr>
          <w:rFonts w:ascii="Times New Roman" w:hAnsi="Times New Roman"/>
          <w:b/>
          <w:sz w:val="24"/>
        </w:rPr>
        <w:t xml:space="preserve">Subscription Rights </w:t>
      </w:r>
    </w:p>
    <w:p>
      <w:pPr>
        <w:pStyle w:val="TextBody"/>
        <w:bidi w:val="0"/>
        <w:spacing w:before="0" w:after="0"/>
        <w:jc w:val="center"/>
        <w:rPr>
          <w:rFonts w:ascii="Times New Roman" w:hAnsi="Times New Roman"/>
          <w:b/>
          <w:sz w:val="24"/>
        </w:rPr>
      </w:pPr>
      <w:r>
        <w:rPr>
          <w:rFonts w:ascii="Times New Roman" w:hAnsi="Times New Roman"/>
          <w:b/>
          <w:sz w:val="24"/>
        </w:rPr>
        <w:t xml:space="preserve">Debt Securities </w:t>
      </w:r>
    </w:p>
    <w:p>
      <w:pPr>
        <w:pStyle w:val="TextBody"/>
        <w:bidi w:val="0"/>
        <w:spacing w:before="0" w:after="0"/>
        <w:jc w:val="center"/>
        <w:rPr>
          <w:rFonts w:ascii="Times New Roman" w:hAnsi="Times New Roman"/>
          <w:b/>
          <w:sz w:val="24"/>
        </w:rPr>
      </w:pPr>
      <w:r>
        <w:rPr>
          <w:rFonts w:ascii="Times New Roman" w:hAnsi="Times New Roman"/>
          <w:b/>
          <w:sz w:val="24"/>
        </w:rPr>
        <w:t xml:space="preserve">Warrants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16"/>
        </w:rPr>
      </w:pPr>
      <w:r>
        <w:rPr>
          <w:rFonts w:ascii="Times New Roman" w:hAnsi="Times New Roman"/>
          <w:sz w:val="16"/>
        </w:rPr>
        <w:t xml:space="preserve">We may offer, from time to time, in one or more offerings or series, together or separately, up to $600,000,000 of our common stock, preferred stock, subscription rights, debt securities, or warrants representing rights to purchase shares of our common stock, preferred stock, or debt securities, which we refer to collectively as the “securities.” We may sell our common stock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 </w:t>
      </w:r>
    </w:p>
    <w:p>
      <w:pPr>
        <w:pStyle w:val="TextBody"/>
        <w:bidi w:val="0"/>
        <w:spacing w:before="120" w:after="0"/>
        <w:jc w:val="left"/>
        <w:rPr>
          <w:rFonts w:ascii="Times New Roman" w:hAnsi="Times New Roman"/>
          <w:sz w:val="16"/>
        </w:rPr>
      </w:pPr>
      <w:r>
        <w:rPr>
          <w:rFonts w:ascii="Times New Roman" w:hAnsi="Times New Roman"/>
          <w:sz w:val="16"/>
        </w:rPr>
        <w:t xml:space="preserve">We may offer shares of common stock at a discount to net asset value per share in certain circumstances. On June 8, 2023, our common stockholders voted to allow us to sell or otherwise issue common stock at a price below net asset value per share for a period of one year ending on the earlier of June 8, 2024 or the date of our 2024 Annual Meeting of Stockholders. Our stockholders are being asked to consider and approve a similar proposal at our 2024 Annual Meeting of Stockholders. Sales of common stock at prices below net asset value per share dilute the interests of existing stockholders, have the effect of reducing our net asset value per share and may reduce our market price per share. In addition, continuous sales of common stock below net asset value may have a negative impact on total returns and could have a negative impact on the market price of our shares of common stock. See “Risk Factors” in Part I, Item 1A in our most recent Annual Report on Form 10-K and in Part II, Item 1A of our most recent Quarterly Report on Form 10-Q for more information. </w:t>
      </w:r>
    </w:p>
    <w:p>
      <w:pPr>
        <w:pStyle w:val="TextBody"/>
        <w:bidi w:val="0"/>
        <w:spacing w:before="120" w:after="0"/>
        <w:jc w:val="left"/>
        <w:rPr>
          <w:rFonts w:ascii="Times New Roman" w:hAnsi="Times New Roman"/>
          <w:sz w:val="16"/>
        </w:rPr>
      </w:pPr>
      <w:r>
        <w:rPr>
          <w:rFonts w:ascii="Times New Roman" w:hAnsi="Times New Roman"/>
          <w:sz w:val="16"/>
        </w:rPr>
        <w:t xml:space="preserve">Our stockholders specified that the cumulative number of shares sold in each offering during the one-year period ending on the earlier of June 8, 2024 or the date of our 2024 Annual Meeting of Stockholders may not exceed 25.0% of our outstanding common stock immediately prior to such sale. In addition, we cannot issue shares of our common stock below net asset value unless our board of directors determines that it would be in our and our stockholders’ best interests to do so. Shares of closed-end investment companies such as us frequently trade at a discount to their net asset value. This risk is separate and distinct from the risk that our net asset value per share may decline. We cannot predict whether our common stock will trade above, at or below net asset value. You should read this prospectus and the applicable prospectus supplement carefully before you invest in our common stock. </w:t>
      </w:r>
    </w:p>
    <w:p>
      <w:pPr>
        <w:pStyle w:val="TextBody"/>
        <w:bidi w:val="0"/>
        <w:spacing w:before="120" w:after="0"/>
        <w:jc w:val="left"/>
        <w:rPr>
          <w:rFonts w:ascii="Times New Roman" w:hAnsi="Times New Roman"/>
          <w:sz w:val="16"/>
        </w:rPr>
      </w:pPr>
      <w:r>
        <w:rPr>
          <w:rFonts w:ascii="Times New Roman" w:hAnsi="Times New Roman"/>
          <w:sz w:val="16"/>
        </w:rPr>
        <w:t xml:space="preserve">We provide customized debt and equity financing solutions to lower middle-market companies, which we define as U.S. based companies having revenues between $10.0 million and $150.0 million. We are an externally managed, closed-end, non-diversified management investment company that has elected to be regulated as a business development company under the Investment Company Act of 1940, as amended. Our investment objective is to provide attractive risk-adjusted returns by generating both current income from our debt investments and capital appreciation from our equity related investments. Our investment strategy includes partnering with business owners, management teams and financial sponsors by providing customized financing for ownership transactions, recapitalizations, strategic acquisitions, business expansion and other growth initiatives. We seek to maintain a diversified portfolio of investments in order to help mitigate the potential effects of adverse economic events related to particular companies, regions or industries. </w:t>
      </w:r>
    </w:p>
    <w:p>
      <w:pPr>
        <w:pStyle w:val="TextBody"/>
        <w:bidi w:val="0"/>
        <w:spacing w:before="120" w:after="0"/>
        <w:jc w:val="left"/>
        <w:rPr>
          <w:rFonts w:ascii="Times New Roman" w:hAnsi="Times New Roman"/>
          <w:b/>
          <w:sz w:val="16"/>
        </w:rPr>
      </w:pPr>
      <w:r>
        <w:rPr>
          <w:rFonts w:ascii="Times New Roman" w:hAnsi="Times New Roman"/>
          <w:b/>
          <w:sz w:val="16"/>
        </w:rPr>
        <w:t xml:space="preserve">We generally invest in securities that would be rated below investment grade if they were rated. Below investment grade securities, which are often referred to as “high yield” or “junk,” have speculative characteristics with respect to our capacity to pay interest and repay principal. See “Risk Factors” in Part I, Item 1A in our most recent Annual Report on Form 10-K and in Part II, Item 1A of our most recent Quarterly Report on Form 10-Q for more information. </w:t>
      </w:r>
    </w:p>
    <w:p>
      <w:pPr>
        <w:pStyle w:val="TextBody"/>
        <w:bidi w:val="0"/>
        <w:spacing w:before="120" w:after="0"/>
        <w:jc w:val="left"/>
        <w:rPr>
          <w:rFonts w:ascii="Times New Roman" w:hAnsi="Times New Roman"/>
          <w:sz w:val="16"/>
        </w:rPr>
      </w:pPr>
      <w:r>
        <w:rPr>
          <w:rFonts w:ascii="Times New Roman" w:hAnsi="Times New Roman"/>
          <w:sz w:val="16"/>
        </w:rPr>
        <w:t xml:space="preserve">Our common stock is listed on the Nasdaq Global Select Market under the symbol “FDUS.” On May 3, 2024, the last reported sale price of our common stock on the Nasdaq Global Select Market was $19.98 per share. </w:t>
      </w:r>
    </w:p>
    <w:p>
      <w:pPr>
        <w:pStyle w:val="TextBody"/>
        <w:bidi w:val="0"/>
        <w:spacing w:before="120" w:after="0"/>
        <w:jc w:val="left"/>
        <w:rPr>
          <w:rFonts w:ascii="Times New Roman" w:hAnsi="Times New Roman"/>
          <w:sz w:val="16"/>
        </w:rPr>
      </w:pPr>
      <w:r>
        <w:rPr>
          <w:rFonts w:ascii="Times New Roman" w:hAnsi="Times New Roman"/>
          <w:sz w:val="16"/>
        </w:rPr>
        <w:t xml:space="preserve">Fidus Investment Advisors, LLC serves as our investment advisor and as our administrator. </w:t>
      </w:r>
    </w:p>
    <w:p>
      <w:pPr>
        <w:pStyle w:val="TextBody"/>
        <w:bidi w:val="0"/>
        <w:spacing w:before="120" w:after="0"/>
        <w:jc w:val="left"/>
        <w:rPr>
          <w:rFonts w:ascii="Times New Roman" w:hAnsi="Times New Roman"/>
          <w:sz w:val="16"/>
        </w:rPr>
      </w:pPr>
      <w:r>
        <w:rPr>
          <w:rFonts w:ascii="Times New Roman" w:hAnsi="Times New Roman"/>
          <w:sz w:val="16"/>
        </w:rPr>
        <w:t xml:space="preserve">This prospectus describes some of the general terms that may apply to an offering of our securities. We will provide the specific terms of these offerings and securities in one or more supplements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and the documents incorporated by reference, before buying any of the securities being offered. We file annual, quarterly and current reports, proxy statements and other information with the Securities and Exchange Commission, which is available free of charge upon written or oral request by contacting us by mail at 1603 Orrington Avenue, Suite 1005, Evanston, Illinois 60201, Attention: Investor Relations, by accessing our website at </w:t>
      </w:r>
      <w:r>
        <w:rPr>
          <w:rFonts w:ascii="Times New Roman" w:hAnsi="Times New Roman"/>
          <w:i/>
          <w:sz w:val="16"/>
        </w:rPr>
        <w:t>http://www.fdus.com</w:t>
      </w:r>
      <w:r>
        <w:rPr>
          <w:rFonts w:ascii="Times New Roman" w:hAnsi="Times New Roman"/>
          <w:sz w:val="16"/>
        </w:rPr>
        <w:t>, by calling us collect at (847) 859-3940 or by sending an e-mail to us at investorrelations@fdus.com. The Securities and Exchange Commission also maintains a website at </w:t>
      </w:r>
      <w:r>
        <w:rPr>
          <w:rFonts w:ascii="Times New Roman" w:hAnsi="Times New Roman"/>
          <w:i/>
          <w:sz w:val="16"/>
        </w:rPr>
        <w:t>http://www.sec.gov</w:t>
      </w:r>
      <w:r>
        <w:rPr>
          <w:rFonts w:ascii="Times New Roman" w:hAnsi="Times New Roman"/>
          <w:sz w:val="16"/>
        </w:rPr>
        <w:t xml:space="preserve"> that contains such information, including the documents incorporated by reference into this prospectus. Information contained on our website is not incorporated by reference into this prospectus or any supplements to this prospectus, and you should not consider that information to be part of this prospectus or any supplements to this prospectus. The contact information provided above may be used by you to make investor inquiries. This prospectus should be retained for future reference.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pPr>
      <w:r>
        <w:rPr>
          <w:rFonts w:ascii="Times New Roman" w:hAnsi="Times New Roman"/>
          <w:b/>
          <w:i/>
          <w:sz w:val="18"/>
        </w:rPr>
        <w:t>An investment in our securities is very risky and highly speculative. Shares of closed-end investment companies, including BDCs, frequently trade at a discount to their net asset value. In addition, the companies in which we invest are subject to special risks. See “</w:t>
      </w:r>
      <w:hyperlink w:anchor="toc29698_4">
        <w:r>
          <w:rPr>
            <w:rStyle w:val="InternetLink"/>
            <w:rFonts w:ascii="Times New Roman" w:hAnsi="Times New Roman"/>
            <w:b/>
            <w:i/>
            <w:sz w:val="18"/>
          </w:rPr>
          <w:t>Risk Factors</w:t>
        </w:r>
      </w:hyperlink>
      <w:r>
        <w:rPr>
          <w:rFonts w:ascii="Times New Roman" w:hAnsi="Times New Roman"/>
          <w:b/>
          <w:i/>
          <w:sz w:val="18"/>
        </w:rPr>
        <w:t xml:space="preserve">” beginning on page 11 of this prospectus, in Part I, Item 1A of our most recent Annual Report on Form 10-K, in Part II, Item 1A of our most recent Quarterly Report on Form 10-Q and in, or incorporated by reference into, the applicable prospectus supplement and in any free writing prospectuses we may authorize for use in connection with a specific offering, and under similar headings in the other documents that are incorporated by reference into this prospectus, to read about factors you should consider, including the risk of leverage, before investing in our securities. </w:t>
      </w:r>
    </w:p>
    <w:p>
      <w:pPr>
        <w:pStyle w:val="TextBody"/>
        <w:bidi w:val="0"/>
        <w:spacing w:before="120" w:after="0"/>
        <w:jc w:val="left"/>
        <w:rPr>
          <w:rFonts w:ascii="Times New Roman" w:hAnsi="Times New Roman"/>
          <w:b/>
          <w:sz w:val="16"/>
        </w:rPr>
      </w:pPr>
      <w:r>
        <w:rPr>
          <w:rFonts w:ascii="Times New Roman" w:hAnsi="Times New Roman"/>
          <w:b/>
          <w:sz w:val="16"/>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120" w:after="0"/>
        <w:jc w:val="left"/>
        <w:rPr>
          <w:rFonts w:ascii="Times New Roman" w:hAnsi="Times New Roman"/>
          <w:b/>
          <w:sz w:val="16"/>
        </w:rPr>
      </w:pPr>
      <w:r>
        <w:rPr>
          <w:rFonts w:ascii="Times New Roman" w:hAnsi="Times New Roman"/>
          <w:b/>
          <w:sz w:val="16"/>
        </w:rPr>
        <w:t xml:space="preserve">This prospectus may not be used to consummate sales of securities unless accompanied by a 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16"/>
        </w:rPr>
      </w:pPr>
      <w:r>
        <w:rPr>
          <w:rFonts w:ascii="Times New Roman" w:hAnsi="Times New Roman"/>
          <w:b/>
          <w:sz w:val="16"/>
        </w:rPr>
        <w:t xml:space="preserve">The date of this prospectus is May 8, 2024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2" w:name="toc1"/>
      <w:bookmarkEnd w:id="2"/>
      <w:r>
        <w:rPr>
          <w:rFonts w:ascii="Times New Roman" w:hAnsi="Times New Roman"/>
          <w:b/>
          <w:sz w:val="20"/>
        </w:rPr>
        <w:t xml:space="preserve">TABLE OF CONTENTS </w:t>
      </w:r>
    </w:p>
    <w:p>
      <w:pPr>
        <w:pStyle w:val="TextBody"/>
        <w:bidi w:val="0"/>
        <w:spacing w:before="0" w:after="0"/>
        <w:jc w:val="left"/>
        <w:rPr/>
      </w:pPr>
      <w:r>
        <w:rPr/>
        <w:t> </w:t>
      </w:r>
    </w:p>
    <w:tbl>
      <w:tblPr>
        <w:tblW w:w="7855" w:type="dxa"/>
        <w:jc w:val="left"/>
        <w:tblInd w:w="0" w:type="dxa"/>
        <w:tblLayout w:type="fixed"/>
        <w:tblCellMar>
          <w:top w:w="0" w:type="dxa"/>
          <w:left w:w="0" w:type="dxa"/>
          <w:bottom w:w="0" w:type="dxa"/>
          <w:right w:w="0" w:type="dxa"/>
        </w:tblCellMar>
      </w:tblPr>
      <w:tblGrid>
        <w:gridCol w:w="7340"/>
        <w:gridCol w:w="120"/>
        <w:gridCol w:w="60"/>
        <w:gridCol w:w="260"/>
        <w:gridCol w:w="75"/>
      </w:tblGrid>
      <w:tr>
        <w:trPr/>
        <w:tc>
          <w:tcPr>
            <w:tcW w:w="7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340" w:type="dxa"/>
            <w:tcBorders/>
            <w:vAlign w:val="center"/>
          </w:tcPr>
          <w:p>
            <w:pPr>
              <w:pStyle w:val="TableContents"/>
              <w:bidi w:val="0"/>
              <w:spacing w:before="0" w:after="0"/>
              <w:jc w:val="left"/>
              <w:rPr/>
            </w:pPr>
            <w:hyperlink w:anchor="toc29698_1">
              <w:r>
                <w:rPr>
                  <w:rStyle w:val="InternetLink"/>
                  <w:rFonts w:ascii="Times New Roman" w:hAnsi="Times New Roman"/>
                  <w:sz w:val="20"/>
                </w:rPr>
                <w:t xml:space="preserve">Prospectus Summary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w:t>
            </w:r>
          </w:p>
        </w:tc>
        <w:tc>
          <w:tcPr>
            <w:tcW w:w="75"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pPr>
            <w:hyperlink w:anchor="toc29698_2">
              <w:r>
                <w:rPr>
                  <w:rStyle w:val="InternetLink"/>
                  <w:rFonts w:ascii="Times New Roman" w:hAnsi="Times New Roman"/>
                  <w:sz w:val="20"/>
                </w:rPr>
                <w:t xml:space="preserve">The Offering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w:t>
            </w:r>
          </w:p>
        </w:tc>
        <w:tc>
          <w:tcPr>
            <w:tcW w:w="75"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pPr>
            <w:hyperlink w:anchor="toc29698_3">
              <w:r>
                <w:rPr>
                  <w:rStyle w:val="InternetLink"/>
                  <w:rFonts w:ascii="Times New Roman" w:hAnsi="Times New Roman"/>
                  <w:sz w:val="20"/>
                </w:rPr>
                <w:t>Fees and Expenses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pPr>
            <w:hyperlink w:anchor="toc29698_4">
              <w:r>
                <w:rPr>
                  <w:rStyle w:val="InternetLink"/>
                  <w:rFonts w:ascii="Times New Roman" w:hAnsi="Times New Roman"/>
                  <w:sz w:val="20"/>
                </w:rPr>
                <w:t xml:space="preserve">Risk Factors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11</w:t>
            </w:r>
          </w:p>
        </w:tc>
        <w:tc>
          <w:tcPr>
            <w:tcW w:w="75"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pPr>
            <w:hyperlink w:anchor="toc29698_5">
              <w:r>
                <w:rPr>
                  <w:rStyle w:val="InternetLink"/>
                  <w:rFonts w:ascii="Times New Roman" w:hAnsi="Times New Roman"/>
                  <w:sz w:val="20"/>
                </w:rPr>
                <w:t xml:space="preserve">Special Note Regarding Forward-Looking Statements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12</w:t>
            </w:r>
          </w:p>
        </w:tc>
        <w:tc>
          <w:tcPr>
            <w:tcW w:w="75"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pPr>
            <w:hyperlink w:anchor="toc29698_6">
              <w:r>
                <w:rPr>
                  <w:rStyle w:val="InternetLink"/>
                  <w:rFonts w:ascii="Times New Roman" w:hAnsi="Times New Roman"/>
                  <w:sz w:val="20"/>
                </w:rPr>
                <w:t xml:space="preserve">Use of Proceeds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pPr>
            <w:hyperlink w:anchor="toc29698_7">
              <w:r>
                <w:rPr>
                  <w:rStyle w:val="InternetLink"/>
                  <w:rFonts w:ascii="Times New Roman" w:hAnsi="Times New Roman"/>
                  <w:sz w:val="20"/>
                </w:rPr>
                <w:t xml:space="preserve">Price Range of Common Stock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15</w:t>
            </w:r>
          </w:p>
        </w:tc>
        <w:tc>
          <w:tcPr>
            <w:tcW w:w="75"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pPr>
            <w:hyperlink w:anchor="toc29698_8">
              <w:r>
                <w:rPr>
                  <w:rStyle w:val="InternetLink"/>
                  <w:rFonts w:ascii="Times New Roman" w:hAnsi="Times New Roman"/>
                  <w:sz w:val="20"/>
                </w:rPr>
                <w:t xml:space="preserve">Financial Highlights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16</w:t>
            </w:r>
          </w:p>
        </w:tc>
        <w:tc>
          <w:tcPr>
            <w:tcW w:w="75"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pPr>
            <w:hyperlink w:anchor="toc29698_10">
              <w:r>
                <w:rPr>
                  <w:rStyle w:val="InternetLink"/>
                  <w:rFonts w:ascii="Times New Roman" w:hAnsi="Times New Roman"/>
                  <w:sz w:val="20"/>
                </w:rPr>
                <w:t xml:space="preserve">Management’s Discussion and Analysis of Financial Condition and Results of Operations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17</w:t>
            </w:r>
          </w:p>
        </w:tc>
        <w:tc>
          <w:tcPr>
            <w:tcW w:w="75"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pPr>
            <w:hyperlink w:anchor="toc29698_11">
              <w:r>
                <w:rPr>
                  <w:rStyle w:val="InternetLink"/>
                  <w:rFonts w:ascii="Times New Roman" w:hAnsi="Times New Roman"/>
                  <w:sz w:val="20"/>
                </w:rPr>
                <w:t xml:space="preserve">Senior Securities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18</w:t>
            </w:r>
          </w:p>
        </w:tc>
        <w:tc>
          <w:tcPr>
            <w:tcW w:w="75"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pPr>
            <w:hyperlink w:anchor="toc29698_12">
              <w:r>
                <w:rPr>
                  <w:rStyle w:val="InternetLink"/>
                  <w:rFonts w:ascii="Times New Roman" w:hAnsi="Times New Roman"/>
                  <w:sz w:val="20"/>
                </w:rPr>
                <w:t xml:space="preserve">The Company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19</w:t>
            </w:r>
          </w:p>
        </w:tc>
        <w:tc>
          <w:tcPr>
            <w:tcW w:w="75"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pPr>
            <w:hyperlink w:anchor="toc29698_13">
              <w:r>
                <w:rPr>
                  <w:rStyle w:val="InternetLink"/>
                  <w:rFonts w:ascii="Times New Roman" w:hAnsi="Times New Roman"/>
                  <w:sz w:val="20"/>
                </w:rPr>
                <w:t xml:space="preserve">Portfolio Companies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20</w:t>
            </w:r>
          </w:p>
        </w:tc>
        <w:tc>
          <w:tcPr>
            <w:tcW w:w="75"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pPr>
            <w:hyperlink w:anchor="toc29698_14">
              <w:r>
                <w:rPr>
                  <w:rStyle w:val="InternetLink"/>
                  <w:rFonts w:ascii="Times New Roman" w:hAnsi="Times New Roman"/>
                  <w:sz w:val="20"/>
                </w:rPr>
                <w:t xml:space="preserve">Management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37</w:t>
            </w:r>
          </w:p>
        </w:tc>
        <w:tc>
          <w:tcPr>
            <w:tcW w:w="75"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pPr>
            <w:hyperlink w:anchor="toc29698_15">
              <w:r>
                <w:rPr>
                  <w:rStyle w:val="InternetLink"/>
                  <w:rFonts w:ascii="Times New Roman" w:hAnsi="Times New Roman"/>
                  <w:sz w:val="20"/>
                </w:rPr>
                <w:t xml:space="preserve">Management and Other Agreements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38</w:t>
            </w:r>
          </w:p>
        </w:tc>
        <w:tc>
          <w:tcPr>
            <w:tcW w:w="75"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pPr>
            <w:hyperlink w:anchor="toc29698_16">
              <w:r>
                <w:rPr>
                  <w:rStyle w:val="InternetLink"/>
                  <w:rFonts w:ascii="Times New Roman" w:hAnsi="Times New Roman"/>
                  <w:sz w:val="20"/>
                </w:rPr>
                <w:t xml:space="preserve">Certain Relationships and Related Transactions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39</w:t>
            </w:r>
          </w:p>
        </w:tc>
        <w:tc>
          <w:tcPr>
            <w:tcW w:w="75"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pPr>
            <w:hyperlink w:anchor="toc29698_17">
              <w:r>
                <w:rPr>
                  <w:rStyle w:val="InternetLink"/>
                  <w:rFonts w:ascii="Times New Roman" w:hAnsi="Times New Roman"/>
                  <w:sz w:val="20"/>
                </w:rPr>
                <w:t xml:space="preserve">Control Persons and Principal Stockholders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40</w:t>
            </w:r>
          </w:p>
        </w:tc>
        <w:tc>
          <w:tcPr>
            <w:tcW w:w="75"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pPr>
            <w:hyperlink w:anchor="toc29698_18">
              <w:r>
                <w:rPr>
                  <w:rStyle w:val="InternetLink"/>
                  <w:rFonts w:ascii="Times New Roman" w:hAnsi="Times New Roman"/>
                  <w:sz w:val="20"/>
                </w:rPr>
                <w:t xml:space="preserve">Sales of Common Stock Below Net Asset Value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41</w:t>
            </w:r>
          </w:p>
        </w:tc>
        <w:tc>
          <w:tcPr>
            <w:tcW w:w="75"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pPr>
            <w:hyperlink w:anchor="toc29698_19">
              <w:r>
                <w:rPr>
                  <w:rStyle w:val="InternetLink"/>
                  <w:rFonts w:ascii="Times New Roman" w:hAnsi="Times New Roman"/>
                  <w:sz w:val="20"/>
                </w:rPr>
                <w:t xml:space="preserve">Dividend Reinvestment Plan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45</w:t>
            </w:r>
          </w:p>
        </w:tc>
        <w:tc>
          <w:tcPr>
            <w:tcW w:w="75"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pPr>
            <w:hyperlink w:anchor="toc29698_20">
              <w:r>
                <w:rPr>
                  <w:rStyle w:val="InternetLink"/>
                  <w:rFonts w:ascii="Times New Roman" w:hAnsi="Times New Roman"/>
                  <w:sz w:val="20"/>
                </w:rPr>
                <w:t xml:space="preserve">Certain U.S. Federal Income Tax Considerations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47</w:t>
            </w:r>
          </w:p>
        </w:tc>
        <w:tc>
          <w:tcPr>
            <w:tcW w:w="75"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pPr>
            <w:hyperlink w:anchor="toc29698_21">
              <w:r>
                <w:rPr>
                  <w:rStyle w:val="InternetLink"/>
                  <w:rFonts w:ascii="Times New Roman" w:hAnsi="Times New Roman"/>
                  <w:sz w:val="20"/>
                </w:rPr>
                <w:t xml:space="preserve">Description of Our Capital Stock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56</w:t>
            </w:r>
          </w:p>
        </w:tc>
        <w:tc>
          <w:tcPr>
            <w:tcW w:w="75"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pPr>
            <w:hyperlink w:anchor="toc29698_22">
              <w:r>
                <w:rPr>
                  <w:rStyle w:val="InternetLink"/>
                  <w:rFonts w:ascii="Times New Roman" w:hAnsi="Times New Roman"/>
                  <w:sz w:val="20"/>
                </w:rPr>
                <w:t xml:space="preserve">Description of Our Preferred Stock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63</w:t>
            </w:r>
          </w:p>
        </w:tc>
        <w:tc>
          <w:tcPr>
            <w:tcW w:w="75"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pPr>
            <w:hyperlink w:anchor="toc29698_23">
              <w:r>
                <w:rPr>
                  <w:rStyle w:val="InternetLink"/>
                  <w:rFonts w:ascii="Times New Roman" w:hAnsi="Times New Roman"/>
                  <w:sz w:val="20"/>
                </w:rPr>
                <w:t xml:space="preserve">Description of Our Subscription Rights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65</w:t>
            </w:r>
          </w:p>
        </w:tc>
        <w:tc>
          <w:tcPr>
            <w:tcW w:w="75"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pPr>
            <w:hyperlink w:anchor="toc29698_24">
              <w:r>
                <w:rPr>
                  <w:rStyle w:val="InternetLink"/>
                  <w:rFonts w:ascii="Times New Roman" w:hAnsi="Times New Roman"/>
                  <w:sz w:val="20"/>
                </w:rPr>
                <w:t xml:space="preserve">Description of Our Debt Securities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67</w:t>
            </w:r>
          </w:p>
        </w:tc>
        <w:tc>
          <w:tcPr>
            <w:tcW w:w="75"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pPr>
            <w:hyperlink w:anchor="toc29698_25">
              <w:r>
                <w:rPr>
                  <w:rStyle w:val="InternetLink"/>
                  <w:rFonts w:ascii="Times New Roman" w:hAnsi="Times New Roman"/>
                  <w:sz w:val="20"/>
                </w:rPr>
                <w:t xml:space="preserve">Description of Our Warrants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81</w:t>
            </w:r>
          </w:p>
        </w:tc>
        <w:tc>
          <w:tcPr>
            <w:tcW w:w="75"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pPr>
            <w:hyperlink w:anchor="toc29698_26">
              <w:r>
                <w:rPr>
                  <w:rStyle w:val="InternetLink"/>
                  <w:rFonts w:ascii="Times New Roman" w:hAnsi="Times New Roman"/>
                  <w:sz w:val="20"/>
                </w:rPr>
                <w:t xml:space="preserve">Regulation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83</w:t>
            </w:r>
          </w:p>
        </w:tc>
        <w:tc>
          <w:tcPr>
            <w:tcW w:w="75"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pPr>
            <w:hyperlink w:anchor="toc29698_27">
              <w:r>
                <w:rPr>
                  <w:rStyle w:val="InternetLink"/>
                  <w:rFonts w:ascii="Times New Roman" w:hAnsi="Times New Roman"/>
                  <w:sz w:val="20"/>
                </w:rPr>
                <w:t xml:space="preserve">Plan of Distribution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84</w:t>
            </w:r>
          </w:p>
        </w:tc>
        <w:tc>
          <w:tcPr>
            <w:tcW w:w="75"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pPr>
            <w:hyperlink w:anchor="toc29698_28">
              <w:r>
                <w:rPr>
                  <w:rStyle w:val="InternetLink"/>
                  <w:rFonts w:ascii="Times New Roman" w:hAnsi="Times New Roman"/>
                  <w:sz w:val="20"/>
                </w:rPr>
                <w:t xml:space="preserve">Custodian, Transfer and Dividend Paying Agent and Registrar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87</w:t>
            </w:r>
          </w:p>
        </w:tc>
        <w:tc>
          <w:tcPr>
            <w:tcW w:w="75"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pPr>
            <w:hyperlink w:anchor="toc29698_29">
              <w:r>
                <w:rPr>
                  <w:rStyle w:val="InternetLink"/>
                  <w:rFonts w:ascii="Times New Roman" w:hAnsi="Times New Roman"/>
                  <w:sz w:val="20"/>
                </w:rPr>
                <w:t xml:space="preserve">Brokerage Allocation and Other Practices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88</w:t>
            </w:r>
          </w:p>
        </w:tc>
        <w:tc>
          <w:tcPr>
            <w:tcW w:w="75"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pPr>
            <w:hyperlink w:anchor="toc29698_30">
              <w:r>
                <w:rPr>
                  <w:rStyle w:val="InternetLink"/>
                  <w:rFonts w:ascii="Times New Roman" w:hAnsi="Times New Roman"/>
                  <w:sz w:val="20"/>
                </w:rPr>
                <w:t xml:space="preserve">Legal Matters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89</w:t>
            </w:r>
          </w:p>
        </w:tc>
        <w:tc>
          <w:tcPr>
            <w:tcW w:w="75"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pPr>
            <w:hyperlink w:anchor="toc29698_31">
              <w:r>
                <w:rPr>
                  <w:rStyle w:val="InternetLink"/>
                  <w:rFonts w:ascii="Times New Roman" w:hAnsi="Times New Roman"/>
                  <w:sz w:val="20"/>
                </w:rPr>
                <w:t xml:space="preserve">Independent Registered Public Accounting Firm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90</w:t>
            </w:r>
          </w:p>
        </w:tc>
        <w:tc>
          <w:tcPr>
            <w:tcW w:w="75"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pPr>
            <w:hyperlink w:anchor="toc29698_32">
              <w:r>
                <w:rPr>
                  <w:rStyle w:val="InternetLink"/>
                  <w:rFonts w:ascii="Times New Roman" w:hAnsi="Times New Roman"/>
                  <w:sz w:val="20"/>
                </w:rPr>
                <w:t xml:space="preserve">Available Information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91</w:t>
            </w:r>
          </w:p>
        </w:tc>
        <w:tc>
          <w:tcPr>
            <w:tcW w:w="75"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0"/>
              <w:jc w:val="left"/>
              <w:rPr/>
            </w:pPr>
            <w:hyperlink w:anchor="toc29698_33">
              <w:r>
                <w:rPr>
                  <w:rStyle w:val="InternetLink"/>
                  <w:rFonts w:ascii="Times New Roman" w:hAnsi="Times New Roman"/>
                  <w:sz w:val="20"/>
                </w:rPr>
                <w:t>Incorporation of Certain Information by Reference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92</w:t>
            </w:r>
          </w:p>
        </w:tc>
        <w:tc>
          <w:tcPr>
            <w:tcW w:w="75"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have filed with the SEC, using the “shelf” registration process. Under this shelf registration statement, we may offer, from time to time, in one or more offerings, up to $600,000,000 of our common stock, preferred stock, subscription rights to purchase shares of our common stock, debt securities or warrants representing rights to purchase shares of our common stock, preferred stock or debt securities, on terms to be determined at the time of the offering. Our securities may be offered at prices and on terms described in one or more supplements to this prospectus. This prospectus provides you with a general description of our securities and the offerings thereof that we may make pursuant to this prospectus. Each time we use this prospectus to offer our securities, we will provide a prospectus supplement that will contain specific information about the terms of that offering. We may also authorize one or more free writing prospectuses to be provided to you that may contain material information relating to such offerings. In a prospectus supplement or free writing prospectus, we may also add, update or change any of the information contained in this prospectus or in the documents we have incorporated by reference into this prospectus. This prospectus, together with the applicable prospectus supplement, any related free writing prospectus, and the documents incorporated by reference into this prospectus and the applicable prospectus supplement, will include all material information relating to the applicable offering. Before buying any of the securities being offered, you should carefully read both this prospectus and the applicable prospectus supplement and any related free writing prospectus, together with any exhibits and the additional information described in the sections titled “Available Information,” “Incorporation of Certain Information by Reference,” “Summary” and “Risk Factors”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may contain estimates and information concerning our industry, including market size and growth rates of the markets in which we participate, that are based on industry publications and reports. This information involves many assumptions and limitations, and you are cautioned not to give undue weight to these estimates. We have not independently verified the accuracy or completeness of the data contained in these industry publications and reports. The industry in which we operate is subject to a high degree of uncertainty and risk due to a variety of factors, including those described in the section titled “Risk Factors” in this prospectus, in Part I, Item 1A of our most recent Annual Report on Form 10-K and in Part II, Item 1A of our most recent Quarterly Report on Form 10-Q, that could cause results to differ materially from those expressed in these publications and reports.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includes summaries of certain provisions contained in some of the documents described in this prospectus,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in the section titled “Available Information” in this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You should rely only on the information included or incorporated by reference in this prospectus, any prospectus supplement or in any free writing prospectus prepared by or on behalf of us or to which we have referred you. We have not authorized any dealer, salesperson or other person to provide you with different information or to make representations as to matters not stated in this prospectus or in any free writing prospectus prepared by or on behalf of us or to which we have referred you. We take no responsibility for, and can provide no assurance as to the reliability of, any other information that others may give you. If anyone provides you with different or inconsistent information, you should not rely on it. This prospectus, any applicable prospectus supplement and any free writing prospectus prepared by or on behalf of us or to which we have referred you do not constitute an offer to sell, or a solicitation of an offer to buy, any securities by any person in any jurisdiction where it is unlawful for that person to make such an offer or solicitation or to any person in any jurisdiction to whom it is unlawful to make such an offer or solicitation. You should not assume that the information included or incorporated by reference in this prospectus or any prospectus supplement or in any such free writing prospectus is accurate as of any date other than their respective 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bookmarkStart w:id="3" w:name="toc29698_1"/>
      <w:bookmarkEnd w:id="3"/>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following summary contains basic information about offerings pursuant to this prospectus. It may not contain all the information that is important to you. For a more complete understanding of offerings pursuant to this prospectus, we encourage you to read this entire prospectus and the documents to which we have referred in this prospectus, together with any accompanying prospectus supplements or free writing prospectuses, including the risks set forth under the caption “Risk Factors” in Part I, Item 1A of our most recent Annual Report on Form 10-K, in Part II, Item 1A of our most recent Quarterly Report on Form 10-Q, in this prospectus, the applicable prospectus supplement and any related free writing prospectus, and under similar headings in any other documents that are incorporated by reference into this prospectus and the applicable prospectus supplement. Before making your investment decision, you should also carefully read the information incorporated by reference into this prospectus, including our financial statements and related notes, as provided in sections titled “Available Information” and “Incorporation of Certain Information by Reference” in this prospectus.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Fidus Investment Corporation (“FIC”), a Maryland Corporation, operates as an externally managed business development company (“BDC”) under the Investment Company Act of 1940, as amended (the “1940 Act”). FIC completed its initial public offering, or IPO, in June 2011. In addition, FIC has elected to be treated as a regulated investment company (“RIC”) under Subchapter M of the Internal Revenue Code of 1986, as amended (the “Code”). As of March 31, 2024, our shares were listed on the NASDAQ Global Select Market under the symbol “FDUS.”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FIC may make investments directly or through its two wholly-owned investment company subsidiaries, Fidus Mezzanine Capital II, L.P. (“Fund II”) and Fidus Mezzanine Capital III, L.P. (“Fund III”) (collectively Fund II and Fund III are referred to as the “Funds”). Fidus Investment GP, LLC, the general partner of the Funds, is also a wholly owned subsidiary of FIC. Fund III is licensed by the U.S. Small Business Administration (the “SBA”) as a small business investment company (“SBIC”). Fund III utilizes the proceeds of the issuance of SBA-guaranteed debentures to enhance returns to our stockholders. Fund II completed its wind-down plan, can no longer issue additional SBA debentures, and relinquished its SBIC license on March 7, 2024, which remains subject to the SBA’s approval. We believe that utilizing both FIC and Fund III as investment vehicles provides us with access to a broader array of investment opportunities. Given our access to lower cost capital through the SBA’s SBIC debenture program, we expect that we will continue to make investments through Fund III until Fund III reach their borrowing limit under the program. For three or more SBICs under common control, the maximum amount of outstanding SBA debentures cannot exceed $350.0 million.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Unless otherwise noted in this prospectus, the terms “we,” “us,” “our,” the “Company,” “Fidus” and “FIC” refer to Fidus Investment Corporation and its consolidated subsidiaries.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As used in this prospectus, the term “our investment advisor” refers to Fidus Investment Advisors, LLC.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Fidus Investment Corporation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provide customized debt and equity financing solutions to lower middle-market companies, which we define as U.S. based companies having revenues between $10.0 million and $150.0 million. Our investment objective is to provide attractive risk-adjusted returns by generating both current income from our debt investments and capital appreciation from our equity related investments. Our investment strategy includes partnering with business owners, management teams and financial sponsors by providing customized financing for ownership transactions, recapitalizations, strategic acquisitions, business expansion and other growth initiatives. We seek to maintain a diversified portfolio of investments in order to help mitigate the potential effects of adverse economic events related to particular companies, regions or industries.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invest in companies that possess some or all of the following attributes: predictable revenues; positive cash flows; defensible and/or leading market positions; diversified customer and supplier bases; and proven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management teams with strong operating discipline. We target companies in the lower middle-market with annual earnings, before interest, taxes, depreciation and amortization, or EBITDA, between $5.0 million and $30.0 million; however, we may from time to time opportunistically make investments in larger or smaller companies. Our investments typically range between $5.0 million and $35.0 million per portfolio company.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of March 31, 2024, we had debt and equity investments in 87 portfolio companies with an aggregate fair value of $1.0 billion.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See “Business” in Part I, Item 1 in our most recent Annual Report on Form 10-K for additional information about 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Risk Associated with Our Business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business is subject to numerous risks, as described in the section titled “Risk Factors” in the applicable prospectus supplement and in any free writing prospectuses we have authorized for use in connection with a specific offering, and under similar headings in the documents that are incorporated by reference into this prospectus, including the section titled “Risk Factors” included in our most recent Annual Report on Form 10-K, in our most recent Quarterly Report on Form 10-Q, as well as in any of our subsequent SEC filings.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offices are located at 1603 Orrington Avenue, Suite 1005, Evanston, Illinois 60201, and our telephone number is (847) 859-3940. Our corporate website is located at </w:t>
      </w:r>
      <w:r>
        <w:rPr>
          <w:rFonts w:ascii="Times New Roman" w:hAnsi="Times New Roman"/>
          <w:i/>
          <w:sz w:val="20"/>
          <w:bdr w:val="single" w:sz="8" w:space="1" w:color="000000"/>
        </w:rPr>
        <w:t>http://www.fdus.com</w:t>
      </w:r>
      <w:r>
        <w:rPr>
          <w:rFonts w:ascii="Times New Roman" w:hAnsi="Times New Roman"/>
          <w:sz w:val="20"/>
          <w:bdr w:val="single" w:sz="8" w:space="1" w:color="000000"/>
        </w:rPr>
        <w:t xml:space="preserve">. Information contained on our website is not incorporated by reference into this prospectus or any supplements to this prospectus, and you should not consider that information to be part of this prospectus or any supplements to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bookmarkStart w:id="4" w:name="toc29698_2"/>
      <w:bookmarkEnd w:id="4"/>
      <w:r>
        <w:rPr>
          <w:rFonts w:ascii="Times New Roman" w:hAnsi="Times New Roman"/>
          <w:b/>
          <w:sz w:val="20"/>
          <w:bdr w:val="single" w:sz="8" w:space="1" w:color="000000"/>
        </w:rPr>
        <w:t xml:space="preserve">THE OFFERING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from time to time, in one or more offerings, up to $600,000,000 of our common stock, preferred stock, subscription rights to purchase shares of our common stock, debt securities, or warrants representing rights to purchase shares of our common stock, preferred stock or debt securities on terms to be determined at the time of each offering and set forth in one or more supplements to this prospectus. Our securities may be offered at prices and on terms to be disclosed in one or more supplements to this prospectus and any related free writing prospectus.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sell or otherwise issue shares of common stock at a discount to net asset value per share at prices approximating market value less selling expenses upon approval, in certain circumstances, of our board of directors, including a majority of our directors that are not “interested persons” of the Company, as defined in the 1940 Act. On June 8, 2023, our stockholders voted to allow us to issue common stock at a price below net asset value per share for a period of one year ended on the earlier of June 8, 2024 or the date of our 2024 Annual Meeting of Stockholders. Our stockholders are being asked to consider and approve a similar proposal at our 2024 Annual Meeting of Stockholders. Sales or other issuances of common stock at prices below net asset value per share dilute the interests of existing stockholders, have the effect of reducing our net asset value per share and may reduce our market price per share. See “Sales of Common Stock Below Net Asset Value” in this prospectus and in any accompanying prospectus supplement, if applicable.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stockholders did not specify a maximum discount below net asset value at which we are able to sell or otherwise issue our common stock; however, we do not intend to sell or otherwise issue shares of our common stock below net asset value unless our board of directors determines that it would be in our stockholders’ best interest to do so. The level of net asset value dilution that could result from such an offering is not limited.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securities may be offered directly to one or more purchasers, including to existing stockholders in a rights offering, by us or through agents designated from time to time by us, or to or through underwriters or dealers. The prospectus supplement relating to an offering and any free writing prospectus will disclose the terms of such offering, including the name or names of any agents or underwriters involved in the sale of our securities by us, the purchase price, and any fee, commission or discount arrangement between us and our agents or underwriters or among our underwriters or the basis upon which such amount may be calculated. See “Plan of Distribution” in this prospectus. We may not sell any of our securities through agents, underwriters or dealers without delivery of this prospectus and a prospectus supplement describing the method and terms of the offering of our securities. </w:t>
      </w:r>
    </w:p>
    <w:p>
      <w:pPr>
        <w:pStyle w:val="TextBody"/>
        <w:bidi w:val="0"/>
        <w:spacing w:before="0" w:after="0"/>
        <w:jc w:val="left"/>
        <w:rPr>
          <w:bdr w:val="single" w:sz="8" w:space="1" w:color="000000"/>
        </w:rPr>
      </w:pPr>
      <w:r>
        <w:rPr>
          <w:bdr w:val="single" w:sz="8" w:space="1" w:color="000000"/>
        </w:rPr>
        <w:t> </w:t>
      </w:r>
    </w:p>
    <w:tbl>
      <w:tblPr>
        <w:tblW w:w="4420" w:type="dxa"/>
        <w:jc w:val="left"/>
        <w:tblInd w:w="0" w:type="dxa"/>
        <w:tblLayout w:type="fixed"/>
        <w:tblCellMar>
          <w:top w:w="0" w:type="dxa"/>
          <w:left w:w="0" w:type="dxa"/>
          <w:bottom w:w="0" w:type="dxa"/>
          <w:right w:w="0" w:type="dxa"/>
        </w:tblCellMar>
      </w:tblPr>
      <w:tblGrid>
        <w:gridCol w:w="3485"/>
        <w:gridCol w:w="935"/>
      </w:tblGrid>
      <w:tr>
        <w:trPr/>
        <w:tc>
          <w:tcPr>
            <w:tcW w:w="3485"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 xml:space="preserve">The Nasdaq Global Select Market Symbol </w:t>
            </w:r>
          </w:p>
        </w:tc>
        <w:tc>
          <w:tcPr>
            <w:tcW w:w="935" w:type="dxa"/>
            <w:tcBorders/>
            <w:vAlign w:val="center"/>
          </w:tcPr>
          <w:p>
            <w:pPr>
              <w:pStyle w:val="TableContents"/>
              <w:bidi w:val="0"/>
              <w:spacing w:before="0" w:after="283"/>
              <w:jc w:val="left"/>
              <w:rPr/>
            </w:pPr>
            <w:r>
              <w:rPr/>
              <w:t>“</w:t>
            </w:r>
            <w:r>
              <w:rPr/>
              <w:t xml:space="preserve">FDUS”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899"/>
        <w:gridCol w:w="9306"/>
      </w:tblGrid>
      <w:tr>
        <w:trPr/>
        <w:tc>
          <w:tcPr>
            <w:tcW w:w="899"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9306" w:type="dxa"/>
            <w:tcBorders/>
            <w:vAlign w:val="center"/>
          </w:tcPr>
          <w:p>
            <w:pPr>
              <w:pStyle w:val="TableContents"/>
              <w:bidi w:val="0"/>
              <w:spacing w:before="0" w:after="283"/>
              <w:jc w:val="left"/>
              <w:rPr/>
            </w:pPr>
            <w:r>
              <w:rPr/>
              <w:t xml:space="preserve">We intend to use the net proceeds from selling our securities to invest in lower middle-market companies in accordance with our investment objective and strategies, to repay the outstanding indebtedness under our Credit Facility (as defined below) and/or our unsecured debt, if any, and for working capital and general corporate purposes. See “Use of Proceeds.”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346"/>
        <w:gridCol w:w="8859"/>
      </w:tblGrid>
      <w:tr>
        <w:trPr/>
        <w:tc>
          <w:tcPr>
            <w:tcW w:w="1346"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 xml:space="preserve">Dividends and Distributions </w:t>
            </w:r>
          </w:p>
        </w:tc>
        <w:tc>
          <w:tcPr>
            <w:tcW w:w="8859" w:type="dxa"/>
            <w:tcBorders/>
            <w:vAlign w:val="center"/>
          </w:tcPr>
          <w:p>
            <w:pPr>
              <w:pStyle w:val="TableContents"/>
              <w:bidi w:val="0"/>
              <w:spacing w:before="0" w:after="283"/>
              <w:jc w:val="left"/>
              <w:rPr/>
            </w:pPr>
            <w:r>
              <w:rPr/>
              <w:t xml:space="preserve">We pay quarterly distributions to our stockholders out of assets legally available for distribution. Our distributions, if any, will be determined by our board of directors. Our ability to declare distributions depends on our earnings, our overall financial condition (including our liquidity position), qualification for or maintenance of our RIC status and such other factors as our board of directors may deem relevant from time to time.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When we make distributions, we will be required to determine the extent to which such distributions are paid out of current or accumulated earnings, recognized capital gains or capital. To the extent there is a return of capital, investors will be required to reduce their basis in our stock for U.S. federal income tax purposes. In the future, our distributions may include a return of capital.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276"/>
        <w:gridCol w:w="8929"/>
      </w:tblGrid>
      <w:tr>
        <w:trPr/>
        <w:tc>
          <w:tcPr>
            <w:tcW w:w="1276"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 xml:space="preserve">Dividend Reinvestment Plan </w:t>
            </w:r>
          </w:p>
        </w:tc>
        <w:tc>
          <w:tcPr>
            <w:tcW w:w="8929" w:type="dxa"/>
            <w:tcBorders/>
            <w:vAlign w:val="center"/>
          </w:tcPr>
          <w:p>
            <w:pPr>
              <w:pStyle w:val="TableContents"/>
              <w:bidi w:val="0"/>
              <w:spacing w:before="0" w:after="283"/>
              <w:jc w:val="left"/>
              <w:rPr/>
            </w:pPr>
            <w:r>
              <w:rPr/>
              <w:t xml:space="preserve">We have adopted a dividend reinvestment plan for our common stockholders, which is an “opt out” dividend reinvestment plan. Under this plan, if we declare a cash distribution, our stockholders who have not opted out of our dividend reinvestment plan will have their cash distribution automatically reinvested in additional shares of our common stock, rather than receiving the cash distribution. If a stockholder opts out, that stockholder will receive cash distributions. Stockholders who receive distributions in the form of shares of common stock generally are subject to the same U.S. federal income tax consequences as stockholders who elect to receive their distributions in cash; however, since their cash distributions will be reinvested, such stockholders will not receive cash with which to pay any applicable taxes on reinvested distributions. See “Dividend Reinvestment Plan.”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72"/>
        <w:gridCol w:w="9433"/>
      </w:tblGrid>
      <w:tr>
        <w:trPr/>
        <w:tc>
          <w:tcPr>
            <w:tcW w:w="772"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 xml:space="preserve">Taxation </w:t>
            </w:r>
          </w:p>
        </w:tc>
        <w:tc>
          <w:tcPr>
            <w:tcW w:w="9433" w:type="dxa"/>
            <w:tcBorders/>
            <w:vAlign w:val="center"/>
          </w:tcPr>
          <w:p>
            <w:pPr>
              <w:pStyle w:val="TableContents"/>
              <w:bidi w:val="0"/>
              <w:spacing w:before="0" w:after="283"/>
              <w:jc w:val="left"/>
              <w:rPr/>
            </w:pPr>
            <w:r>
              <w:rPr/>
              <w:t xml:space="preserve">We have elected to be treated as a RIC for U.S. federal income tax purposes. Accordingly, we generally will not be subject to U.S. federal income tax on any net ordinary income or capital gains that we timely distribute to our stockholders. To maintain our tax treatment as a RIC and the associated tax benefits, we must meet specified source-of-income and asset diversification requirements and generally distribute annually at least 90% of our realized net ordinary income and realized net short-term capital gains, if any, in excess of our net long-term capital losses. In order to meet the 90% income requirement, we have established several subsidiaries that are treated as corporations for U.S. federal income tax purposes, and in the future may establish additional such subsidiaries, to hold assets from which we do not anticipate earning dividends, interest or other qualifying income under the 90% income requirement (the “Taxable Subsidiaries”). Each Taxable Subsidiary generally is subject to U.S. federal income tax imposed at corporate rates, and therefore we can expect to achieve a reduced after-tax yield on investments held through a Taxable Subsidiary. See “Price Range of Common Stock” and “Certain U.S. Federal Income Tax Considerations.”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165"/>
        <w:gridCol w:w="9040"/>
      </w:tblGrid>
      <w:tr>
        <w:trPr/>
        <w:tc>
          <w:tcPr>
            <w:tcW w:w="1165"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 xml:space="preserve">Effective Trading at a Discount </w:t>
            </w:r>
          </w:p>
        </w:tc>
        <w:tc>
          <w:tcPr>
            <w:tcW w:w="9040" w:type="dxa"/>
            <w:tcBorders/>
            <w:vAlign w:val="center"/>
          </w:tcPr>
          <w:p>
            <w:pPr>
              <w:pStyle w:val="TableContents"/>
              <w:bidi w:val="0"/>
              <w:spacing w:before="0" w:after="283"/>
              <w:jc w:val="left"/>
              <w:rPr/>
            </w:pPr>
            <w:r>
              <w:rPr/>
              <w:t xml:space="preserve">Shares of closed-end investment companies, including business development companies, frequently trade at a discount to their net asset value. The risk that our shares may trade at a discount to our net asset value is separate and distinct from the risk that our net asset value per share may decline. We cannot predict whether our shares will trade above, at or below net asset value. See “Risk Factors.”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1004"/>
        <w:gridCol w:w="9201"/>
      </w:tblGrid>
      <w:tr>
        <w:trPr/>
        <w:tc>
          <w:tcPr>
            <w:tcW w:w="1004"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 xml:space="preserve">Sales of Common Stock Below Net Asset Value </w:t>
            </w:r>
          </w:p>
        </w:tc>
        <w:tc>
          <w:tcPr>
            <w:tcW w:w="9201" w:type="dxa"/>
            <w:tcBorders/>
            <w:vAlign w:val="center"/>
          </w:tcPr>
          <w:p>
            <w:pPr>
              <w:pStyle w:val="TableContents"/>
              <w:bidi w:val="0"/>
              <w:spacing w:before="0" w:after="283"/>
              <w:jc w:val="left"/>
              <w:rPr/>
            </w:pPr>
            <w:r>
              <w:rPr/>
              <w:t xml:space="preserve">Generally, the offering price per share of our common stock, exclusive of any underwriting commissions or discounts, may not be less than the net asset value per share of our common stock at the time we make the offering except (1) in connection with a rights offering to our existing stockholders, (2) with the consent of the majority of our common stockholders and approval of our board of directors, or (3) under such circumstances as the SEC may permit. On June 8, 2023, our common stockholders voted to allow us to sell or otherwise issue common stock at a price below net asset value per share for a period of one year ending on the earlier of June 8, 2024 or our 2024 Annual Meeting of Stockholders. Our stockholders are being asked to consider and approve a similar proposal at our 2024 Annual Meeting of Stockholders. Sales or other issuances by us of our common stock at a discount from our net asset value pose potential risks for our existing stockholders whether or not they participate in the offering, as well as for new investors who participate in the offering. See “Sales of Common Stock Below Net Asset Value” in this prospectus and in the prospectus supplement, if applicable.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90"/>
        <w:gridCol w:w="9415"/>
      </w:tblGrid>
      <w:tr>
        <w:trPr/>
        <w:tc>
          <w:tcPr>
            <w:tcW w:w="790"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 xml:space="preserve">Leverage </w:t>
            </w:r>
          </w:p>
        </w:tc>
        <w:tc>
          <w:tcPr>
            <w:tcW w:w="9415" w:type="dxa"/>
            <w:tcBorders/>
            <w:vAlign w:val="center"/>
          </w:tcPr>
          <w:p>
            <w:pPr>
              <w:pStyle w:val="TableContents"/>
              <w:bidi w:val="0"/>
              <w:spacing w:before="0" w:after="283"/>
              <w:jc w:val="left"/>
              <w:rPr/>
            </w:pPr>
            <w:r>
              <w:rPr/>
              <w:t>We borrow funds to make additional investments. We use this practice, which is known as “leverage,” to attempt to increase returns to our stockholders, but it involves significant risks. See “Risk Factors,” “Senior Securities,” and “Regulation” below. We are currently allowed to borrow amounts such that our asset coverage, as calculated pursuant to the 1940 Act, equals at least 150% after such borrowing (</w:t>
            </w:r>
            <w:r>
              <w:rPr>
                <w:i/>
              </w:rPr>
              <w:t>i.e.</w:t>
            </w:r>
            <w:r>
              <w:rPr/>
              <w:t xml:space="preserve">, we are able to borrow up to two dollars for every dollar we have in assets less all liabilities and indebtedness not represented by senior securities issued by us). See “Management’s Discussion and Analysis of Financial Condition and Results of Operations” in Part II, Item 7 our most recent Annual Report on Form 10-K.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The amount of leverage that we employ at any particular time will depend on our investment advisor’s investment committee’s and our board of directors’ assessment of market and other factors at the time of any proposed borrowing. In addition, the SBA regulations currently limit the amount that is available to be borrowed by any SBIC and guaranteed by the SBA to 300% of an SBIC’s regulatory capital or $175.0 million, whichever is less. For three or more SBICs under common control, the maximum amount of outstanding SBA debentures cannot exceed $350.0 million.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For more information, see “Risk Factors” in Part I, Item 1A of our most recent Annual Report on Form 10-K and “Business — Regulation” in Part I, Item 1 in our most recent Annual Report on Form 10-K.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693"/>
        <w:gridCol w:w="8512"/>
      </w:tblGrid>
      <w:tr>
        <w:trPr/>
        <w:tc>
          <w:tcPr>
            <w:tcW w:w="1693"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 xml:space="preserve">Available Information </w:t>
            </w:r>
          </w:p>
        </w:tc>
        <w:tc>
          <w:tcPr>
            <w:tcW w:w="85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have filed with the SEC a registration statement on Form N-2, of which this prospectus is a part, under the Securities Act. This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 xml:space="preserve">registration statement contains additional information about us and the securities being offered by this prospectus. We are also required to file periodic reports, current reports, proxy statements and other information with the SEC. This information is available on the SEC’s website at http://www.sec.gov.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We maintain a website at </w:t>
            </w:r>
            <w:r>
              <w:rPr>
                <w:i/>
              </w:rPr>
              <w:t>www.fdus.com</w:t>
            </w:r>
            <w:r>
              <w:rPr/>
              <w:t xml:space="preserve"> and make all of our periodic and current reports, proxy statements and other information available, free of charge, on or through our website. Information contained on our website is not incorporated by reference into this prospectus or any supplements to this prospectus, and you should not consider that information to be part of this prospectus or any supplements to this prospectus. You may also obtain such information free of charge by contacting us by mail at 1603 Orrington Avenue, Suite 1005, Evanston, Illinois 60201, Attention: Investor Relations, by calling us collect at (847) 859-3940 or by sending an e-mail to us at investorrelations@fdus.com.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393"/>
        <w:gridCol w:w="8812"/>
      </w:tblGrid>
      <w:tr>
        <w:trPr/>
        <w:tc>
          <w:tcPr>
            <w:tcW w:w="1393"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 xml:space="preserve">Incorporation of Certain Information by Reference </w:t>
            </w:r>
          </w:p>
        </w:tc>
        <w:tc>
          <w:tcPr>
            <w:tcW w:w="8812" w:type="dxa"/>
            <w:tcBorders/>
            <w:vAlign w:val="center"/>
          </w:tcPr>
          <w:p>
            <w:pPr>
              <w:pStyle w:val="TableContents"/>
              <w:bidi w:val="0"/>
              <w:spacing w:before="0" w:after="283"/>
              <w:jc w:val="left"/>
              <w:rPr/>
            </w:pPr>
            <w:r>
              <w:rPr/>
              <w:t xml:space="preserve">This prospectus is part of a registration statement that we have filed with the SEC. We may “incorporate by reference” the information that we file with the SEC, which means that we can disclose important information to you by referring you to those documents. The information incorporated by reference is considered to comprise a part of this prospectus from the date we file that information. We incorporate by reference into this prospectus any filings under Section 13(a), 13(c), 14, or 15(d) of the Exchange Act filed by us with the SEC subsequent to the date of the initial registration statement and prior to effectiveness of the registration statement, and subsequent to the date of this prospectus until all of the securities offered by this prospectus and any accompanying prospectus supplement have been sold or we otherwise terminate the offering of these securities. See “Incorporation of Certain Information by Reference” in this prospectus for more information.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5" w:name="toc29698_3"/>
      <w:bookmarkEnd w:id="5"/>
      <w:r>
        <w:rPr>
          <w:rFonts w:ascii="Times New Roman" w:hAnsi="Times New Roman"/>
          <w:b/>
          <w:sz w:val="20"/>
        </w:rPr>
        <w:t xml:space="preserve">FEES AND EXPENSES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is intended to assist you in understanding the costs and expenses that an investor in an offering will bear directly or indirectly. We caution you that some of the percentages indicated in the table below are estimates and may vary. Except where the context suggests otherwise, whenever there is a reference to fees or expenses paid by “you,” “us,” “the Company” or “Fidus,” or that “we” will pay fees or expenses, stockholders will indirectly bear such fees or expenses as investors in us. </w:t>
      </w:r>
    </w:p>
    <w:p>
      <w:pPr>
        <w:pStyle w:val="TextBody"/>
        <w:bidi w:val="0"/>
        <w:spacing w:before="0" w:after="0"/>
        <w:jc w:val="left"/>
        <w:rPr/>
      </w:pPr>
      <w:r>
        <w:rPr/>
        <w:t> </w:t>
      </w:r>
    </w:p>
    <w:tbl>
      <w:tblPr>
        <w:tblW w:w="8325" w:type="dxa"/>
        <w:jc w:val="left"/>
        <w:tblInd w:w="0" w:type="dxa"/>
        <w:tblLayout w:type="fixed"/>
        <w:tblCellMar>
          <w:top w:w="0" w:type="dxa"/>
          <w:left w:w="0" w:type="dxa"/>
          <w:bottom w:w="0" w:type="dxa"/>
          <w:right w:w="0" w:type="dxa"/>
        </w:tblCellMar>
      </w:tblPr>
      <w:tblGrid>
        <w:gridCol w:w="6830"/>
        <w:gridCol w:w="120"/>
        <w:gridCol w:w="60"/>
        <w:gridCol w:w="560"/>
        <w:gridCol w:w="755"/>
      </w:tblGrid>
      <w:tr>
        <w:trPr/>
        <w:tc>
          <w:tcPr>
            <w:tcW w:w="68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683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Stockholder transaction expenses: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r>
      <w:tr>
        <w:trPr/>
        <w:tc>
          <w:tcPr>
            <w:tcW w:w="6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Sales load (as a percentage of offering price)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c>
          <w:tcPr>
            <w:tcW w:w="755" w:type="dxa"/>
            <w:tcBorders/>
            <w:vAlign w:val="center"/>
          </w:tcPr>
          <w:p>
            <w:pPr>
              <w:pStyle w:val="TableContents"/>
              <w:bidi w:val="0"/>
              <w:spacing w:before="0" w:after="283"/>
              <w:jc w:val="left"/>
              <w:rPr/>
            </w:pPr>
            <w:r>
              <w:rPr/>
              <w:t>(1) </w:t>
            </w:r>
          </w:p>
        </w:tc>
      </w:tr>
      <w:tr>
        <w:trPr/>
        <w:tc>
          <w:tcPr>
            <w:tcW w:w="68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Offering Expenses born by us (as a percentage of offering price)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755" w:type="dxa"/>
            <w:tcBorders/>
            <w:shd w:fill="CCEEFF" w:val="clear"/>
            <w:vAlign w:val="center"/>
          </w:tcPr>
          <w:p>
            <w:pPr>
              <w:pStyle w:val="TableContents"/>
              <w:bidi w:val="0"/>
              <w:spacing w:before="0" w:after="283"/>
              <w:jc w:val="left"/>
              <w:rPr/>
            </w:pPr>
            <w:r>
              <w:rPr/>
              <w:t>(2) </w:t>
            </w:r>
          </w:p>
        </w:tc>
      </w:tr>
      <w:tr>
        <w:trPr/>
        <w:tc>
          <w:tcPr>
            <w:tcW w:w="6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Dividend reinvestment plan expenses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c>
          <w:tcPr>
            <w:tcW w:w="755" w:type="dxa"/>
            <w:tcBorders/>
            <w:vAlign w:val="center"/>
          </w:tcPr>
          <w:p>
            <w:pPr>
              <w:pStyle w:val="TableContents"/>
              <w:bidi w:val="0"/>
              <w:spacing w:before="0" w:after="283"/>
              <w:jc w:val="left"/>
              <w:rPr/>
            </w:pPr>
            <w:r>
              <w:rPr/>
              <w:t>(3) </w:t>
            </w:r>
          </w:p>
        </w:tc>
      </w:tr>
      <w:tr>
        <w:trPr/>
        <w:tc>
          <w:tcPr>
            <w:tcW w:w="68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stockholder transaction expenses paid by us (as a percentage of offering price)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755" w:type="dxa"/>
            <w:tcBorders/>
            <w:shd w:fill="CCEEFF" w:val="clear"/>
            <w:vAlign w:val="center"/>
          </w:tcPr>
          <w:p>
            <w:pPr>
              <w:pStyle w:val="TableContents"/>
              <w:bidi w:val="0"/>
              <w:spacing w:before="0" w:after="283"/>
              <w:jc w:val="left"/>
              <w:rPr/>
            </w:pPr>
            <w:r>
              <w:rPr/>
              <w:t>(4) </w:t>
            </w:r>
          </w:p>
        </w:tc>
      </w:tr>
      <w:tr>
        <w:trPr/>
        <w:tc>
          <w:tcPr>
            <w:tcW w:w="68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Annual expenses (as a percentage of net assets attributable to common stock)(5):</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68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Base management fee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2.96</w:t>
            </w:r>
          </w:p>
        </w:tc>
        <w:tc>
          <w:tcPr>
            <w:tcW w:w="755" w:type="dxa"/>
            <w:tcBorders/>
            <w:shd w:fill="CCEEFF" w:val="clear"/>
            <w:vAlign w:val="center"/>
          </w:tcPr>
          <w:p>
            <w:pPr>
              <w:pStyle w:val="TableContents"/>
              <w:bidi w:val="0"/>
              <w:spacing w:before="0" w:after="283"/>
              <w:jc w:val="left"/>
              <w:rPr/>
            </w:pPr>
            <w:r>
              <w:rPr/>
              <w:t>%(6) </w:t>
            </w:r>
          </w:p>
        </w:tc>
      </w:tr>
      <w:tr>
        <w:trPr/>
        <w:tc>
          <w:tcPr>
            <w:tcW w:w="6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Incentive fees payable under Investment Advisory Agreement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3.02</w:t>
            </w:r>
          </w:p>
        </w:tc>
        <w:tc>
          <w:tcPr>
            <w:tcW w:w="755" w:type="dxa"/>
            <w:tcBorders/>
            <w:vAlign w:val="center"/>
          </w:tcPr>
          <w:p>
            <w:pPr>
              <w:pStyle w:val="TableContents"/>
              <w:bidi w:val="0"/>
              <w:spacing w:before="0" w:after="283"/>
              <w:jc w:val="left"/>
              <w:rPr/>
            </w:pPr>
            <w:r>
              <w:rPr/>
              <w:t>%(7) </w:t>
            </w:r>
          </w:p>
        </w:tc>
      </w:tr>
      <w:tr>
        <w:trPr/>
        <w:tc>
          <w:tcPr>
            <w:tcW w:w="68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payments on borrowed funds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3.64</w:t>
            </w:r>
          </w:p>
        </w:tc>
        <w:tc>
          <w:tcPr>
            <w:tcW w:w="755" w:type="dxa"/>
            <w:tcBorders/>
            <w:shd w:fill="CCEEFF" w:val="clear"/>
            <w:vAlign w:val="center"/>
          </w:tcPr>
          <w:p>
            <w:pPr>
              <w:pStyle w:val="TableContents"/>
              <w:bidi w:val="0"/>
              <w:spacing w:before="0" w:after="283"/>
              <w:jc w:val="left"/>
              <w:rPr/>
            </w:pPr>
            <w:r>
              <w:rPr/>
              <w:t>%(8) </w:t>
            </w:r>
          </w:p>
        </w:tc>
      </w:tr>
      <w:tr>
        <w:trPr/>
        <w:tc>
          <w:tcPr>
            <w:tcW w:w="6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expenses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1.13</w:t>
            </w:r>
          </w:p>
        </w:tc>
        <w:tc>
          <w:tcPr>
            <w:tcW w:w="755" w:type="dxa"/>
            <w:tcBorders/>
            <w:vAlign w:val="center"/>
          </w:tcPr>
          <w:p>
            <w:pPr>
              <w:pStyle w:val="TableContents"/>
              <w:bidi w:val="0"/>
              <w:spacing w:before="0" w:after="283"/>
              <w:jc w:val="left"/>
              <w:rPr/>
            </w:pPr>
            <w:r>
              <w:rPr/>
              <w:t>%(9) </w:t>
            </w:r>
          </w:p>
        </w:tc>
      </w:tr>
      <w:tr>
        <w:trPr/>
        <w:tc>
          <w:tcPr>
            <w:tcW w:w="68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annual expenses, before base management fee waiver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10.75</w:t>
            </w:r>
          </w:p>
        </w:tc>
        <w:tc>
          <w:tcPr>
            <w:tcW w:w="755" w:type="dxa"/>
            <w:tcBorders/>
            <w:shd w:fill="CCEEFF" w:val="clear"/>
            <w:vAlign w:val="center"/>
          </w:tcPr>
          <w:p>
            <w:pPr>
              <w:pStyle w:val="TableContents"/>
              <w:bidi w:val="0"/>
              <w:spacing w:before="0" w:after="283"/>
              <w:jc w:val="left"/>
              <w:rPr/>
            </w:pPr>
            <w:r>
              <w:rPr/>
              <w:t>%(10) </w:t>
            </w:r>
          </w:p>
        </w:tc>
      </w:tr>
      <w:tr>
        <w:trPr/>
        <w:tc>
          <w:tcPr>
            <w:tcW w:w="6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Base management fee waiver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(0.05</w:t>
            </w:r>
          </w:p>
        </w:tc>
        <w:tc>
          <w:tcPr>
            <w:tcW w:w="755" w:type="dxa"/>
            <w:tcBorders/>
            <w:vAlign w:val="center"/>
          </w:tcPr>
          <w:p>
            <w:pPr>
              <w:pStyle w:val="TableContents"/>
              <w:bidi w:val="0"/>
              <w:spacing w:before="0" w:after="283"/>
              <w:jc w:val="left"/>
              <w:rPr/>
            </w:pPr>
            <w:r>
              <w:rPr/>
              <w:t>%)(11) </w:t>
            </w:r>
          </w:p>
        </w:tc>
      </w:tr>
      <w:tr>
        <w:trPr/>
        <w:tc>
          <w:tcPr>
            <w:tcW w:w="68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annual expenses, net of base management fee waiver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10.70</w:t>
            </w:r>
          </w:p>
        </w:tc>
        <w:tc>
          <w:tcPr>
            <w:tcW w:w="755" w:type="dxa"/>
            <w:tcBorders/>
            <w:shd w:fill="CCEEFF" w:val="clear"/>
            <w:vAlign w:val="center"/>
          </w:tcPr>
          <w:p>
            <w:pPr>
              <w:pStyle w:val="TableContents"/>
              <w:bidi w:val="0"/>
              <w:spacing w:before="0" w:after="283"/>
              <w:jc w:val="left"/>
              <w:rPr/>
            </w:pPr>
            <w:r>
              <w:rPr/>
              <w:t>%(12) </w:t>
            </w:r>
          </w:p>
        </w:tc>
      </w:tr>
      <w:tr>
        <w:trPr/>
        <w:tc>
          <w:tcPr>
            <w:tcW w:w="68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56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pPr>
            <w:r>
              <w:rPr/>
              <w:t>(1)</w:t>
            </w:r>
          </w:p>
        </w:tc>
        <w:tc>
          <w:tcPr>
            <w:tcW w:w="99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securities are sold to or through underwriters, a corresponding prospectus supplement will disclose the applicable sales load. </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pPr>
            <w:r>
              <w:rPr/>
              <w:t>(2)</w:t>
            </w:r>
          </w:p>
        </w:tc>
        <w:tc>
          <w:tcPr>
            <w:tcW w:w="9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we conduct an offering of any of our securities, a corresponding prospectus supplement will disclose the estimated offering expenses because they will be ultimately borne by the Company (and indirectly by our stockholders). </w:t>
            </w:r>
          </w:p>
        </w:tc>
      </w:tr>
    </w:tbl>
    <w:tbl>
      <w:tblPr>
        <w:tblW w:w="8005" w:type="dxa"/>
        <w:jc w:val="left"/>
        <w:tblInd w:w="0" w:type="dxa"/>
        <w:tblLayout w:type="fixed"/>
        <w:tblCellMar>
          <w:top w:w="0" w:type="dxa"/>
          <w:left w:w="0" w:type="dxa"/>
          <w:bottom w:w="0" w:type="dxa"/>
          <w:right w:w="0" w:type="dxa"/>
        </w:tblCellMar>
      </w:tblPr>
      <w:tblGrid>
        <w:gridCol w:w="305"/>
        <w:gridCol w:w="7700"/>
      </w:tblGrid>
      <w:tr>
        <w:trPr/>
        <w:tc>
          <w:tcPr>
            <w:tcW w:w="305" w:type="dxa"/>
            <w:tcBorders/>
            <w:vAlign w:val="center"/>
          </w:tcPr>
          <w:p>
            <w:pPr>
              <w:pStyle w:val="TableContents"/>
              <w:bidi w:val="0"/>
              <w:spacing w:before="0" w:after="283"/>
              <w:jc w:val="left"/>
              <w:rPr/>
            </w:pPr>
            <w:r>
              <w:rPr/>
              <w:t>(3)</w:t>
            </w:r>
          </w:p>
        </w:tc>
        <w:tc>
          <w:tcPr>
            <w:tcW w:w="7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expenses of administering our dividend reinvestment plan are included in other expenses. </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(4)</w:t>
            </w:r>
          </w:p>
        </w:tc>
        <w:tc>
          <w:tcPr>
            <w:tcW w:w="99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Total stockholder transaction expenses may include a sales load and will be disclosed in a future prospectus supplement, if any. </w:t>
            </w:r>
          </w:p>
        </w:tc>
      </w:tr>
    </w:tbl>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pPr>
            <w:r>
              <w:rPr/>
              <w:t>(5)</w:t>
            </w:r>
          </w:p>
        </w:tc>
        <w:tc>
          <w:tcPr>
            <w:tcW w:w="992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Net assets attributable to common stock equals average net assets, which is calculated as the average of the net assets balances for the three months ended March 31, 2024. </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(6)</w:t>
            </w:r>
          </w:p>
        </w:tc>
        <w:tc>
          <w:tcPr>
            <w:tcW w:w="99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base management fee is 1.75% of the average value of our total assets (other than cash and cash equivalents but including assets purchased with borrowed amounts). This item represents actual base management fees incurred for the three months ended March 31, 2024. We may from time to time decide it is appropriate to change the terms of the investment advisory and management agreement by and between the Company and our investment advisor (the “Investment Advisory Agreement”). Under the 1940 Act, any material change to our Investment Advisory Agreement must be submitted to stockholders for approval. The 2.96% reflected in the table is calculated on our net assets (rather than our total assets). See Part I, Item 1. “Business - Management and Other Agreements-Investment Advisory Agreement” in our most recent Annual Report on Form 10-K. </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(7)</w:t>
            </w:r>
          </w:p>
        </w:tc>
        <w:tc>
          <w:tcPr>
            <w:tcW w:w="99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item represents actual fees incurred on pre-incentive fee net investment income (income incentive fee) and actual fees payable for the capital gains incentive fee for the three months ended March 31, 2024. The capital gains incentive fee payable as of March 31, 2024 was $0.2 million. For the three months ended March 31, 2024, we accrued capital gains incentive fees (reversal) of $0.5 million in accordance with U.S. GAAP, which equals 0.08% of average net assets attributable to common stock; such amount has not been included in the estimated expenses figure reflected in the table above.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incentive fee consists of two parts:</w:t>
      </w:r>
    </w:p>
    <w:p>
      <w:pPr>
        <w:pStyle w:val="TextBody"/>
        <w:bidi w:val="0"/>
        <w:spacing w:before="120" w:after="0"/>
        <w:jc w:val="left"/>
        <w:rPr>
          <w:rFonts w:ascii="Times New Roman" w:hAnsi="Times New Roman"/>
          <w:sz w:val="20"/>
        </w:rPr>
      </w:pPr>
      <w:r>
        <w:rPr>
          <w:rFonts w:ascii="Times New Roman" w:hAnsi="Times New Roman"/>
          <w:sz w:val="20"/>
        </w:rPr>
        <w:t>The first, payable quarterly in arrears, equals 20.0% of our pre-incentive fee net investment income, expressed as a rate of return on the value of our net assets (including interest that is accrued but not yet received in cash), subject to a 2.0% quarterly (8.0% annualized) hurdle rate and a “catch-up” provision measured as of the end of each calendar quarter. Under this provision, in any calendar quarter, our investment advisor receives no incentive fee until our pre-incentive fee net investment income equals the hurdle rate of 2.0% but then receives, as a “catch-up,” 100.0% of our pre-incentive fee net investment income with respect to that portion of such pre-incentive fee net investment income, if any, that exceeds the hurdle rate but is less than 2.5%. The effect of this provision is that, if pre-incentive fee net investment income exceeds 2.5% in any calendar quarter, our investment advisor will receive 20.0% of our pre-incentive fee net investment income as if a hurdle rate did not apply.</w:t>
      </w:r>
    </w:p>
    <w:p>
      <w:pPr>
        <w:pStyle w:val="TextBody"/>
        <w:bidi w:val="0"/>
        <w:spacing w:before="120" w:after="0"/>
        <w:jc w:val="left"/>
        <w:rPr>
          <w:rFonts w:ascii="Times New Roman" w:hAnsi="Times New Roman"/>
          <w:sz w:val="20"/>
        </w:rPr>
      </w:pPr>
      <w:r>
        <w:rPr>
          <w:rFonts w:ascii="Times New Roman" w:hAnsi="Times New Roman"/>
          <w:sz w:val="20"/>
        </w:rPr>
        <w:t xml:space="preserve">The second part, payable annually in arrears, equals 20.0% of our realized capital gains net of realized capital losses and unrealized capital depreciation, if any, on a cumulative basis from inception through the end of the fiscal year (or upon the termination of the Investment Advisory Agreement, as of the termination date), less the aggregate amount of any previously paid capital gain incentive fees. In accordance with U.S. GAAP, we accrue the capital gains incentive fee in our consolidated financial statements considering the fair value of investments on that date (i.e., the amount of fee which would be payable under a hypothetical liquidation based on the fair value of investments as of that date), which differs from the calculation of the amount payable in cash by the inclusion of unrealized capital appreciation. See Part I, Item 1. “Business - Management and Other Agreements-Investment Advisory Agreement” in our most recent Annual Report on Form 10-K.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(8)</w:t>
            </w:r>
          </w:p>
        </w:tc>
        <w:tc>
          <w:tcPr>
            <w:tcW w:w="99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March 31, 2024, we had outstanding SBA debentures of $175.0 million; we had $125.0 million outstanding of our 4.75% notes due 2026 (the “January 2026 Notes”); we had $125.0 million outstanding of our 3.50% notes due 2026 (the “November 2026 Notes” and together with the January 2026 Notes, the “Notes”); we had outstanding borrowings of $22.5 million under our senior secured revolving credit agreement with certain lenders party thereto and ING Capital, LLC, as administrative agent (the “Credit Facility”), which has a total commitment of $100.0 million. Interest payments on borrowed funds is based on estimated annual interest and fee expenses on outstanding SBA debentures and the Notes and outstanding borrowings under the Credit Facility as of March 31, 2024 with a weighted average stated interest rate of 4.568% as of that date. We also pay a commitment fee between 0.5% and 2.675% per annum based the unutilized commitment under our Credit Facility. We have estimated the annual interest expense on borrowed funds and caution you that our actual interest expense will depend on prevailing interest rates and our rate of borrowing, which may be substantially higher than the estimate provided in this table. </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(9)</w:t>
            </w:r>
          </w:p>
        </w:tc>
        <w:tc>
          <w:tcPr>
            <w:tcW w:w="99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expenses represent our estimated annual operating expenses, as a percentage of net assets attributable to common shares estimated for the three months ended March 31, 2024, including professional fees, directors’ fees, insurance costs, expenses of our dividend reinvestment plan, payments under the Administration Agreement based on our allocable portion of overhead and other expenses incurred by our administrator, expenses incurred in a money market fund, and our income tax provision (benefit) relating to deferred and current tax provision (benefit) for U.S. federal income taxes and excise, state and other taxes. See Part I, Item 1. “Business - Management and Other Agreements-Administration Agreement” in our most recent Annual Report on Form 10-K. Other expenses exclude interest payments on borrowed funds and, for issuances of debt securities or preferred stock, interest payments on debt securities and distributions with respect to preferred stock. “Other expenses” are based on actual other expenses for the three months ended March 31, 2024. </w:t>
            </w:r>
          </w:p>
        </w:tc>
      </w:tr>
    </w:tbl>
    <w:tbl>
      <w:tblPr>
        <w:tblW w:w="10205" w:type="dxa"/>
        <w:jc w:val="left"/>
        <w:tblInd w:w="0" w:type="dxa"/>
        <w:tblLayout w:type="fixed"/>
        <w:tblCellMar>
          <w:top w:w="0" w:type="dxa"/>
          <w:left w:w="0" w:type="dxa"/>
          <w:bottom w:w="0" w:type="dxa"/>
          <w:right w:w="0" w:type="dxa"/>
        </w:tblCellMar>
      </w:tblPr>
      <w:tblGrid>
        <w:gridCol w:w="377"/>
        <w:gridCol w:w="9828"/>
      </w:tblGrid>
      <w:tr>
        <w:trPr/>
        <w:tc>
          <w:tcPr>
            <w:tcW w:w="377" w:type="dxa"/>
            <w:tcBorders/>
            <w:vAlign w:val="center"/>
          </w:tcPr>
          <w:p>
            <w:pPr>
              <w:pStyle w:val="TableContents"/>
              <w:bidi w:val="0"/>
              <w:spacing w:before="0" w:after="283"/>
              <w:jc w:val="left"/>
              <w:rPr/>
            </w:pPr>
            <w:r>
              <w:rPr/>
              <w:t>(10)</w:t>
            </w:r>
          </w:p>
        </w:tc>
        <w:tc>
          <w:tcPr>
            <w:tcW w:w="9828" w:type="dxa"/>
            <w:tcBorders/>
            <w:vAlign w:val="center"/>
          </w:tcPr>
          <w:p>
            <w:pPr>
              <w:pStyle w:val="TableContents"/>
              <w:bidi w:val="0"/>
              <w:spacing w:before="0" w:after="0"/>
              <w:jc w:val="left"/>
              <w:rPr/>
            </w:pPr>
            <w:r>
              <w:rPr/>
              <w:t>“</w:t>
            </w:r>
            <w:r>
              <w:rPr>
                <w:rFonts w:ascii="Times New Roman" w:hAnsi="Times New Roman"/>
                <w:sz w:val="20"/>
              </w:rPr>
              <w:t xml:space="preserve">Total annual expenses, before base management fee waiver” as a percentage of consolidated net assets attributable to common stock are higher than the total annual expenses percentage would be for a company that is not leveraged. We borrow money to leverage our net assets and increase our total assets. </w:t>
            </w:r>
          </w:p>
        </w:tc>
      </w:tr>
    </w:tbl>
    <w:tbl>
      <w:tblPr>
        <w:tblW w:w="10205" w:type="dxa"/>
        <w:jc w:val="left"/>
        <w:tblInd w:w="0" w:type="dxa"/>
        <w:tblLayout w:type="fixed"/>
        <w:tblCellMar>
          <w:top w:w="0" w:type="dxa"/>
          <w:left w:w="0" w:type="dxa"/>
          <w:bottom w:w="0" w:type="dxa"/>
          <w:right w:w="0" w:type="dxa"/>
        </w:tblCellMar>
      </w:tblPr>
      <w:tblGrid>
        <w:gridCol w:w="392"/>
        <w:gridCol w:w="9813"/>
      </w:tblGrid>
      <w:tr>
        <w:trPr/>
        <w:tc>
          <w:tcPr>
            <w:tcW w:w="392" w:type="dxa"/>
            <w:tcBorders/>
            <w:vAlign w:val="center"/>
          </w:tcPr>
          <w:p>
            <w:pPr>
              <w:pStyle w:val="TableContents"/>
              <w:bidi w:val="0"/>
              <w:spacing w:before="0" w:after="283"/>
              <w:jc w:val="left"/>
              <w:rPr/>
            </w:pPr>
            <w:r>
              <w:rPr/>
              <w:t>(11)</w:t>
            </w:r>
          </w:p>
        </w:tc>
        <w:tc>
          <w:tcPr>
            <w:tcW w:w="981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Board of Directors accepted a voluntary, non-contractual, and unconditional waiver from the Investment Advisor to permanently exclude any investments recorded as secured borrowings as defined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under GAAP from the base management fee payable as of March 31, 2024. The base management fee waived as of March 31, 2024 was $0.1 million. </w:t>
            </w:r>
          </w:p>
        </w:tc>
      </w:tr>
    </w:tbl>
    <w:tbl>
      <w:tblPr>
        <w:tblW w:w="10205" w:type="dxa"/>
        <w:jc w:val="left"/>
        <w:tblInd w:w="0" w:type="dxa"/>
        <w:tblLayout w:type="fixed"/>
        <w:tblCellMar>
          <w:top w:w="0" w:type="dxa"/>
          <w:left w:w="0" w:type="dxa"/>
          <w:bottom w:w="0" w:type="dxa"/>
          <w:right w:w="0" w:type="dxa"/>
        </w:tblCellMar>
      </w:tblPr>
      <w:tblGrid>
        <w:gridCol w:w="365"/>
        <w:gridCol w:w="9840"/>
      </w:tblGrid>
      <w:tr>
        <w:trPr/>
        <w:tc>
          <w:tcPr>
            <w:tcW w:w="365" w:type="dxa"/>
            <w:tcBorders/>
            <w:vAlign w:val="center"/>
          </w:tcPr>
          <w:p>
            <w:pPr>
              <w:pStyle w:val="TableContents"/>
              <w:bidi w:val="0"/>
              <w:spacing w:before="0" w:after="283"/>
              <w:jc w:val="left"/>
              <w:rPr/>
            </w:pPr>
            <w:r>
              <w:rPr/>
              <w:t>(12)</w:t>
            </w:r>
          </w:p>
        </w:tc>
        <w:tc>
          <w:tcPr>
            <w:tcW w:w="9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SEC requires that the “total annual expenses, net of base management fee waiver” percentage be calculated as a percentage of net assets (defined as total assets less total liabilities), rather than the total assets, including assets that have been purchased with borrowed amounts. If the “total annual expenses, net of base management fee waiver” percentage were calculated instead as a percentage of average consolidated total assets, our “total annual expenses, net of base management fee waiver” would be 5.89% of average consolidated total assets.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Example </w:t>
      </w:r>
    </w:p>
    <w:p>
      <w:pPr>
        <w:pStyle w:val="TextBody"/>
        <w:bidi w:val="0"/>
        <w:spacing w:before="120" w:after="0"/>
        <w:jc w:val="left"/>
        <w:rPr>
          <w:rFonts w:ascii="Times New Roman" w:hAnsi="Times New Roman"/>
          <w:sz w:val="20"/>
        </w:rPr>
      </w:pPr>
      <w:r>
        <w:rPr>
          <w:rFonts w:ascii="Times New Roman" w:hAnsi="Times New Roman"/>
          <w:sz w:val="20"/>
        </w:rPr>
        <w:t>The following example demonstrates the projected dollar amount of total cumulative expenses over various periods with respect to a hypothetical investment in us. In calculating the following expense amounts, we have assumed we would have no additional leverage and that our annual operating expenses would remain at the levels set forth in the table above, including giving effect to the management fee waiver described in the table above. Transaction expenses are not included in the following example.</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480"/>
        <w:gridCol w:w="120"/>
        <w:gridCol w:w="175"/>
        <w:gridCol w:w="475"/>
        <w:gridCol w:w="60"/>
        <w:gridCol w:w="120"/>
        <w:gridCol w:w="199"/>
        <w:gridCol w:w="541"/>
        <w:gridCol w:w="60"/>
        <w:gridCol w:w="120"/>
        <w:gridCol w:w="199"/>
        <w:gridCol w:w="541"/>
        <w:gridCol w:w="60"/>
        <w:gridCol w:w="120"/>
        <w:gridCol w:w="231"/>
        <w:gridCol w:w="629"/>
        <w:gridCol w:w="75"/>
      </w:tblGrid>
      <w:tr>
        <w:trPr/>
        <w:tc>
          <w:tcPr>
            <w:tcW w:w="64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4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1 year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3 years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5 years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10 years</w:t>
            </w:r>
          </w:p>
        </w:tc>
        <w:tc>
          <w:tcPr>
            <w:tcW w:w="75" w:type="dxa"/>
            <w:tcBorders/>
            <w:vAlign w:val="center"/>
          </w:tcPr>
          <w:p>
            <w:pPr>
              <w:pStyle w:val="TableContents"/>
              <w:bidi w:val="0"/>
              <w:spacing w:before="0" w:after="283"/>
              <w:jc w:val="left"/>
              <w:rPr/>
            </w:pPr>
            <w:r>
              <w:rPr/>
              <w:t> </w:t>
            </w:r>
          </w:p>
        </w:tc>
      </w:tr>
      <w:tr>
        <w:trPr/>
        <w:tc>
          <w:tcPr>
            <w:tcW w:w="64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You would pay the following expenses on a $1,000 investment, assuming a 5% annual return</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475" w:type="dxa"/>
            <w:tcBorders/>
            <w:shd w:fill="CCEEFF" w:val="clear"/>
            <w:vAlign w:val="center"/>
          </w:tcPr>
          <w:p>
            <w:pPr>
              <w:pStyle w:val="TableContents"/>
              <w:bidi w:val="0"/>
              <w:spacing w:before="0" w:after="283"/>
              <w:jc w:val="right"/>
              <w:rPr/>
            </w:pPr>
            <w:r>
              <w:rPr/>
              <w:t>104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541" w:type="dxa"/>
            <w:tcBorders/>
            <w:shd w:fill="CCEEFF" w:val="clear"/>
            <w:vAlign w:val="center"/>
          </w:tcPr>
          <w:p>
            <w:pPr>
              <w:pStyle w:val="TableContents"/>
              <w:bidi w:val="0"/>
              <w:spacing w:before="0" w:after="283"/>
              <w:jc w:val="right"/>
              <w:rPr/>
            </w:pPr>
            <w:r>
              <w:rPr/>
              <w:t>295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541" w:type="dxa"/>
            <w:tcBorders/>
            <w:shd w:fill="CCEEFF" w:val="clear"/>
            <w:vAlign w:val="center"/>
          </w:tcPr>
          <w:p>
            <w:pPr>
              <w:pStyle w:val="TableContents"/>
              <w:bidi w:val="0"/>
              <w:spacing w:before="0" w:after="283"/>
              <w:jc w:val="right"/>
              <w:rPr/>
            </w:pPr>
            <w:r>
              <w:rPr/>
              <w:t>465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811</w:t>
            </w:r>
          </w:p>
        </w:tc>
        <w:tc>
          <w:tcPr>
            <w:tcW w:w="75" w:type="dxa"/>
            <w:tcBorders/>
            <w:shd w:fill="CCEEFF" w:val="clear"/>
            <w:vAlign w:val="center"/>
          </w:tcPr>
          <w:p>
            <w:pPr>
              <w:pStyle w:val="TableContents"/>
              <w:bidi w:val="0"/>
              <w:spacing w:before="0" w:after="283"/>
              <w:jc w:val="left"/>
              <w:rPr/>
            </w:pPr>
            <w:r>
              <w:rPr/>
              <w:t> </w:t>
            </w:r>
          </w:p>
        </w:tc>
      </w:tr>
      <w:tr>
        <w:trPr/>
        <w:tc>
          <w:tcPr>
            <w:tcW w:w="6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You would pay the following expenses on a $1,000 investment, assuming a 5.0% annual return resulting entirely from net realized capital gains (all of which is subject to our incentive fee on capital gains)</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475" w:type="dxa"/>
            <w:tcBorders/>
            <w:vAlign w:val="center"/>
          </w:tcPr>
          <w:p>
            <w:pPr>
              <w:pStyle w:val="TableContents"/>
              <w:bidi w:val="0"/>
              <w:spacing w:before="0" w:after="283"/>
              <w:jc w:val="right"/>
              <w:rPr/>
            </w:pPr>
            <w:r>
              <w:rPr/>
              <w:t>113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w:t>
            </w:r>
          </w:p>
        </w:tc>
        <w:tc>
          <w:tcPr>
            <w:tcW w:w="541" w:type="dxa"/>
            <w:tcBorders/>
            <w:vAlign w:val="center"/>
          </w:tcPr>
          <w:p>
            <w:pPr>
              <w:pStyle w:val="TableContents"/>
              <w:bidi w:val="0"/>
              <w:spacing w:before="0" w:after="283"/>
              <w:jc w:val="right"/>
              <w:rPr/>
            </w:pPr>
            <w:r>
              <w:rPr/>
              <w:t>318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w:t>
            </w:r>
          </w:p>
        </w:tc>
        <w:tc>
          <w:tcPr>
            <w:tcW w:w="541" w:type="dxa"/>
            <w:tcBorders/>
            <w:vAlign w:val="center"/>
          </w:tcPr>
          <w:p>
            <w:pPr>
              <w:pStyle w:val="TableContents"/>
              <w:bidi w:val="0"/>
              <w:spacing w:before="0" w:after="283"/>
              <w:jc w:val="right"/>
              <w:rPr/>
            </w:pPr>
            <w:r>
              <w:rPr/>
              <w:t>496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629" w:type="dxa"/>
            <w:tcBorders/>
            <w:vAlign w:val="center"/>
          </w:tcPr>
          <w:p>
            <w:pPr>
              <w:pStyle w:val="TableContents"/>
              <w:bidi w:val="0"/>
              <w:spacing w:before="0" w:after="283"/>
              <w:jc w:val="right"/>
              <w:rPr/>
            </w:pPr>
            <w:r>
              <w:rPr/>
              <w:t>845</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table is to assist you in understanding the various costs and expenses that an investor in our common stock will bear directly or indirectly. While the example assumes, as required by the SEC, a 5.0% annual return, our performance will vary and may result in a return greater or less than 5.0%. Assuming a 5.0% annual return, the incentive fee under the Investment Advisory Agreement would either not be payable or have an insignificant impact on the expense amounts shown above. If we achieve sufficient returns on our investments, including through the realization of capital gains, to trigger an incentive fee of a material amount, our expenses, and returns to our investors, would be higher. In addition, while the example assumes reinvestment of all distributions at net asset value, if our board of directors authorizes and we declare a cash dividend, participants in our dividend reinvestment plan who have not otherwise elected to receive cash will receive a number of shares of our common stock, determined by dividing the total dollar amount of the distribution payable to a participant by the market price per share of our common stock at the close of trading on the valuation date for the distribution. </w:t>
      </w:r>
    </w:p>
    <w:p>
      <w:pPr>
        <w:pStyle w:val="TextBody"/>
        <w:bidi w:val="0"/>
        <w:spacing w:before="240" w:after="0"/>
        <w:jc w:val="left"/>
        <w:rPr>
          <w:rFonts w:ascii="Times New Roman" w:hAnsi="Times New Roman"/>
          <w:sz w:val="20"/>
        </w:rPr>
      </w:pPr>
      <w:r>
        <w:rPr>
          <w:rFonts w:ascii="Times New Roman" w:hAnsi="Times New Roman"/>
          <w:sz w:val="20"/>
        </w:rPr>
        <w:t>This example and the expenses in the table above should not be considered a representation of our future expenses, and actual expenses (including the cost of debt, if any, and other expenses) may be greater or less than those shown.</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6" w:name="toc29698_4"/>
      <w:bookmarkEnd w:id="6"/>
      <w:r>
        <w:rPr>
          <w:rFonts w:ascii="Times New Roman" w:hAnsi="Times New Roman"/>
          <w:b/>
          <w:sz w:val="20"/>
        </w:rPr>
        <w:t xml:space="preserve">RISK FACTORS </w:t>
      </w:r>
    </w:p>
    <w:p>
      <w:pPr>
        <w:pStyle w:val="TextBody"/>
        <w:bidi w:val="0"/>
        <w:spacing w:before="240" w:after="0"/>
        <w:jc w:val="left"/>
        <w:rPr/>
      </w:pPr>
      <w:r>
        <w:rPr>
          <w:rFonts w:ascii="Times New Roman" w:hAnsi="Times New Roman"/>
          <w:sz w:val="20"/>
        </w:rPr>
        <w:t xml:space="preserve">Investing in our securities involves a number of significant risks. In addition to the other information contained in this prospectus and any accompanying prospectus supplement, you should consider carefully the following information before making an investment in our securities. Before deciding whether to invest in our securities, you should carefully consider the risks and uncertainties described in the section titled “Risk Factors” in the applicable prospectus supplement and any related free writing prospectus, and discussed in the section titled “Risk Factors” in Part I, Item 1A of our most recent </w:t>
      </w:r>
      <w:hyperlink r:id="rId13">
        <w:r>
          <w:rPr>
            <w:rStyle w:val="InternetLink"/>
            <w:rFonts w:ascii="Times New Roman" w:hAnsi="Times New Roman"/>
            <w:sz w:val="20"/>
          </w:rPr>
          <w:t>Annual Report on Form 10-K</w:t>
        </w:r>
      </w:hyperlink>
      <w:r>
        <w:rPr>
          <w:rFonts w:ascii="Times New Roman" w:hAnsi="Times New Roman"/>
          <w:sz w:val="20"/>
        </w:rPr>
        <w:t xml:space="preserve"> and any subsequent filings we have made with the SEC that are incorporated by reference into this prospectus or any prospectus supplement, together with other information in this prospectus, the documents incorporated by reference in this prospectus or any prospectus supplement, and any free writing prospectus that we may authorize for use in connection with this offering. The risks and uncertainties described in these documents could materially adversely affect our business, financial condition and results of operations. The risks described in these documents are not the only ones we face. Additional risks and uncertainties that we are unaware of, or that we currently believe are not material, also may become important factors that could adversely affect our business. Past financial performance may not be a reliable indicator of future performance, and historical trends should not be used to anticipate results or trends in future periods. If any of these risks actually occurs, our business, reputation, financial condition, results of operations, revenue, and future prospects could be seriously harmed. This could cause our net asset value and the trading price of our securities to decline, resulting in a loss of all or part of your investment. Please also read carefully the section titled “Special Note Regarding Forward-Looking Statements”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7" w:name="toc29698_5"/>
      <w:bookmarkEnd w:id="7"/>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“will,” “may,” “continue,” “believes,” “seeks,” “estimates,” “would,” “should,” “targets,” “projects” and variations of these words and similar expressions are intended to identify forward-looking statements. The forward-looking statements contained in this report involve risks and uncertainties, including statements as to: </w:t>
      </w:r>
    </w:p>
    <w:p>
      <w:pPr>
        <w:pStyle w:val="TextBody"/>
        <w:bidi w:val="0"/>
        <w:spacing w:before="0" w:after="0"/>
        <w:jc w:val="left"/>
        <w:rPr/>
      </w:pPr>
      <w:r>
        <w:rPr/>
        <w:t> </w:t>
      </w:r>
    </w:p>
    <w:tbl>
      <w:tblPr>
        <w:tblW w:w="2575" w:type="dxa"/>
        <w:jc w:val="left"/>
        <w:tblInd w:w="0" w:type="dxa"/>
        <w:tblLayout w:type="fixed"/>
        <w:tblCellMar>
          <w:top w:w="0" w:type="dxa"/>
          <w:left w:w="0" w:type="dxa"/>
          <w:bottom w:w="0" w:type="dxa"/>
          <w:right w:w="0" w:type="dxa"/>
        </w:tblCellMar>
      </w:tblPr>
      <w:tblGrid>
        <w:gridCol w:w="75"/>
        <w:gridCol w:w="110"/>
        <w:gridCol w:w="60"/>
        <w:gridCol w:w="23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future operating results; </w:t>
            </w:r>
          </w:p>
        </w:tc>
      </w:tr>
    </w:tbl>
    <w:p>
      <w:pPr>
        <w:pStyle w:val="TextBody"/>
        <w:bidi w:val="0"/>
        <w:spacing w:before="0" w:after="0"/>
        <w:jc w:val="left"/>
        <w:rPr/>
      </w:pPr>
      <w:r>
        <w:rPr/>
        <w:t> </w:t>
      </w:r>
    </w:p>
    <w:tbl>
      <w:tblPr>
        <w:tblW w:w="4015" w:type="dxa"/>
        <w:jc w:val="left"/>
        <w:tblInd w:w="0" w:type="dxa"/>
        <w:tblLayout w:type="fixed"/>
        <w:tblCellMar>
          <w:top w:w="0" w:type="dxa"/>
          <w:left w:w="0" w:type="dxa"/>
          <w:bottom w:w="0" w:type="dxa"/>
          <w:right w:w="0" w:type="dxa"/>
        </w:tblCellMar>
      </w:tblPr>
      <w:tblGrid>
        <w:gridCol w:w="75"/>
        <w:gridCol w:w="110"/>
        <w:gridCol w:w="60"/>
        <w:gridCol w:w="37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financial and lending markets;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business prospects and the prospects of our portfolio companies, including our and their ability to achieve our respective objectives; </w:t>
            </w:r>
          </w:p>
        </w:tc>
      </w:tr>
    </w:tbl>
    <w:p>
      <w:pPr>
        <w:pStyle w:val="TextBody"/>
        <w:bidi w:val="0"/>
        <w:spacing w:before="0" w:after="0"/>
        <w:jc w:val="left"/>
        <w:rPr/>
      </w:pPr>
      <w:r>
        <w:rPr/>
        <w:t> </w:t>
      </w:r>
    </w:p>
    <w:tbl>
      <w:tblPr>
        <w:tblW w:w="4375" w:type="dxa"/>
        <w:jc w:val="left"/>
        <w:tblInd w:w="0" w:type="dxa"/>
        <w:tblLayout w:type="fixed"/>
        <w:tblCellMar>
          <w:top w:w="0" w:type="dxa"/>
          <w:left w:w="0" w:type="dxa"/>
          <w:bottom w:w="0" w:type="dxa"/>
          <w:right w:w="0" w:type="dxa"/>
        </w:tblCellMar>
      </w:tblPr>
      <w:tblGrid>
        <w:gridCol w:w="75"/>
        <w:gridCol w:w="110"/>
        <w:gridCol w:w="60"/>
        <w:gridCol w:w="41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impact of investments that we expect to make; </w:t>
            </w:r>
          </w:p>
        </w:tc>
      </w:tr>
    </w:tbl>
    <w:p>
      <w:pPr>
        <w:pStyle w:val="TextBody"/>
        <w:bidi w:val="0"/>
        <w:spacing w:before="0" w:after="0"/>
        <w:jc w:val="left"/>
        <w:rPr/>
      </w:pPr>
      <w:r>
        <w:rPr/>
        <w:t> </w:t>
      </w:r>
    </w:p>
    <w:tbl>
      <w:tblPr>
        <w:tblW w:w="5605" w:type="dxa"/>
        <w:jc w:val="left"/>
        <w:tblInd w:w="0" w:type="dxa"/>
        <w:tblLayout w:type="fixed"/>
        <w:tblCellMar>
          <w:top w:w="0" w:type="dxa"/>
          <w:left w:w="0" w:type="dxa"/>
          <w:bottom w:w="0" w:type="dxa"/>
          <w:right w:w="0" w:type="dxa"/>
        </w:tblCellMar>
      </w:tblPr>
      <w:tblGrid>
        <w:gridCol w:w="75"/>
        <w:gridCol w:w="110"/>
        <w:gridCol w:w="60"/>
        <w:gridCol w:w="53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contractual arrangements and relationships with third parties; </w:t>
            </w:r>
          </w:p>
        </w:tc>
      </w:tr>
    </w:tbl>
    <w:p>
      <w:pPr>
        <w:pStyle w:val="TextBody"/>
        <w:bidi w:val="0"/>
        <w:spacing w:before="0" w:after="0"/>
        <w:jc w:val="left"/>
        <w:rPr/>
      </w:pPr>
      <w:r>
        <w:rPr/>
        <w:t> </w:t>
      </w:r>
    </w:p>
    <w:tbl>
      <w:tblPr>
        <w:tblW w:w="9490" w:type="dxa"/>
        <w:jc w:val="left"/>
        <w:tblInd w:w="0" w:type="dxa"/>
        <w:tblLayout w:type="fixed"/>
        <w:tblCellMar>
          <w:top w:w="0" w:type="dxa"/>
          <w:left w:w="0" w:type="dxa"/>
          <w:bottom w:w="0" w:type="dxa"/>
          <w:right w:w="0" w:type="dxa"/>
        </w:tblCellMar>
      </w:tblPr>
      <w:tblGrid>
        <w:gridCol w:w="75"/>
        <w:gridCol w:w="110"/>
        <w:gridCol w:w="60"/>
        <w:gridCol w:w="92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dependence of our future success on the general economy and its impact on the industries in which we invest;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economic downturn and its impacts on the ability of our portfolio companies to operate and the investment opportunities available to 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impact of geopolitical conditions, including the ongoing conflict between Ukraine and Russia, and the ongoing war in the Middle East, and U.S. and China relations, and its impact on financial market volatility, global economic markets, and various sectors, industries and markets for commodities globally; </w:t>
            </w:r>
          </w:p>
        </w:tc>
      </w:tr>
    </w:tbl>
    <w:p>
      <w:pPr>
        <w:pStyle w:val="TextBody"/>
        <w:bidi w:val="0"/>
        <w:spacing w:before="0" w:after="0"/>
        <w:jc w:val="left"/>
        <w:rPr/>
      </w:pPr>
      <w:r>
        <w:rPr/>
        <w:t> </w:t>
      </w:r>
    </w:p>
    <w:tbl>
      <w:tblPr>
        <w:tblW w:w="5620" w:type="dxa"/>
        <w:jc w:val="left"/>
        <w:tblInd w:w="0" w:type="dxa"/>
        <w:tblLayout w:type="fixed"/>
        <w:tblCellMar>
          <w:top w:w="0" w:type="dxa"/>
          <w:left w:w="0" w:type="dxa"/>
          <w:bottom w:w="0" w:type="dxa"/>
          <w:right w:w="0" w:type="dxa"/>
        </w:tblCellMar>
      </w:tblPr>
      <w:tblGrid>
        <w:gridCol w:w="75"/>
        <w:gridCol w:w="110"/>
        <w:gridCol w:w="60"/>
        <w:gridCol w:w="53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our portfolio companies to achieve their objectives; </w:t>
            </w:r>
          </w:p>
        </w:tc>
      </w:tr>
    </w:tbl>
    <w:p>
      <w:pPr>
        <w:pStyle w:val="TextBody"/>
        <w:bidi w:val="0"/>
        <w:spacing w:before="0" w:after="0"/>
        <w:jc w:val="left"/>
        <w:rPr/>
      </w:pPr>
      <w:r>
        <w:rPr/>
        <w:t> </w:t>
      </w:r>
    </w:p>
    <w:tbl>
      <w:tblPr>
        <w:tblW w:w="3625" w:type="dxa"/>
        <w:jc w:val="left"/>
        <w:tblInd w:w="0" w:type="dxa"/>
        <w:tblLayout w:type="fixed"/>
        <w:tblCellMar>
          <w:top w:w="0" w:type="dxa"/>
          <w:left w:w="0" w:type="dxa"/>
          <w:bottom w:w="0" w:type="dxa"/>
          <w:right w:w="0" w:type="dxa"/>
        </w:tblCellMar>
      </w:tblPr>
      <w:tblGrid>
        <w:gridCol w:w="75"/>
        <w:gridCol w:w="110"/>
        <w:gridCol w:w="60"/>
        <w:gridCol w:w="33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expected financing and investments; </w:t>
            </w:r>
          </w:p>
        </w:tc>
      </w:tr>
    </w:tbl>
    <w:p>
      <w:pPr>
        <w:pStyle w:val="TextBody"/>
        <w:bidi w:val="0"/>
        <w:spacing w:before="0" w:after="0"/>
        <w:jc w:val="left"/>
        <w:rPr/>
      </w:pPr>
      <w:r>
        <w:rPr/>
        <w:t> </w:t>
      </w:r>
    </w:p>
    <w:tbl>
      <w:tblPr>
        <w:tblW w:w="4855" w:type="dxa"/>
        <w:jc w:val="left"/>
        <w:tblInd w:w="0" w:type="dxa"/>
        <w:tblLayout w:type="fixed"/>
        <w:tblCellMar>
          <w:top w:w="0" w:type="dxa"/>
          <w:left w:w="0" w:type="dxa"/>
          <w:bottom w:w="0" w:type="dxa"/>
          <w:right w:w="0" w:type="dxa"/>
        </w:tblCellMar>
      </w:tblPr>
      <w:tblGrid>
        <w:gridCol w:w="75"/>
        <w:gridCol w:w="110"/>
        <w:gridCol w:w="60"/>
        <w:gridCol w:w="46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adequacy of our cash resources and working capital; </w:t>
            </w:r>
          </w:p>
        </w:tc>
      </w:tr>
    </w:tbl>
    <w:p>
      <w:pPr>
        <w:pStyle w:val="TextBody"/>
        <w:bidi w:val="0"/>
        <w:spacing w:before="0" w:after="0"/>
        <w:jc w:val="left"/>
        <w:rPr/>
      </w:pPr>
      <w:r>
        <w:rPr/>
        <w:t> </w:t>
      </w:r>
    </w:p>
    <w:tbl>
      <w:tblPr>
        <w:tblW w:w="6745" w:type="dxa"/>
        <w:jc w:val="left"/>
        <w:tblInd w:w="0" w:type="dxa"/>
        <w:tblLayout w:type="fixed"/>
        <w:tblCellMar>
          <w:top w:w="0" w:type="dxa"/>
          <w:left w:w="0" w:type="dxa"/>
          <w:bottom w:w="0" w:type="dxa"/>
          <w:right w:w="0" w:type="dxa"/>
        </w:tblCellMar>
      </w:tblPr>
      <w:tblGrid>
        <w:gridCol w:w="75"/>
        <w:gridCol w:w="110"/>
        <w:gridCol w:w="60"/>
        <w:gridCol w:w="65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timing of cash flows, if any, from the operations of our portfolio companies;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our investment advisor to identify suitable investments for us and to monitor and administer our investments; </w:t>
            </w:r>
          </w:p>
        </w:tc>
      </w:tr>
    </w:tbl>
    <w:p>
      <w:pPr>
        <w:pStyle w:val="TextBody"/>
        <w:bidi w:val="0"/>
        <w:spacing w:before="0" w:after="0"/>
        <w:jc w:val="left"/>
        <w:rPr/>
      </w:pPr>
      <w:r>
        <w:rPr/>
        <w:t> </w:t>
      </w:r>
    </w:p>
    <w:tbl>
      <w:tblPr>
        <w:tblW w:w="7360" w:type="dxa"/>
        <w:jc w:val="left"/>
        <w:tblInd w:w="0" w:type="dxa"/>
        <w:tblLayout w:type="fixed"/>
        <w:tblCellMar>
          <w:top w:w="0" w:type="dxa"/>
          <w:left w:w="0" w:type="dxa"/>
          <w:bottom w:w="0" w:type="dxa"/>
          <w:right w:w="0" w:type="dxa"/>
        </w:tblCellMar>
      </w:tblPr>
      <w:tblGrid>
        <w:gridCol w:w="75"/>
        <w:gridCol w:w="110"/>
        <w:gridCol w:w="60"/>
        <w:gridCol w:w="71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our investment advisor to attract and retain highly talented professionals; </w:t>
            </w:r>
          </w:p>
        </w:tc>
      </w:tr>
    </w:tbl>
    <w:p>
      <w:pPr>
        <w:pStyle w:val="TextBody"/>
        <w:bidi w:val="0"/>
        <w:spacing w:before="0" w:after="0"/>
        <w:jc w:val="left"/>
        <w:rPr/>
      </w:pPr>
      <w:r>
        <w:rPr/>
        <w:t> </w:t>
      </w:r>
    </w:p>
    <w:tbl>
      <w:tblPr>
        <w:tblW w:w="3745" w:type="dxa"/>
        <w:jc w:val="left"/>
        <w:tblInd w:w="0" w:type="dxa"/>
        <w:tblLayout w:type="fixed"/>
        <w:tblCellMar>
          <w:top w:w="0" w:type="dxa"/>
          <w:left w:w="0" w:type="dxa"/>
          <w:bottom w:w="0" w:type="dxa"/>
          <w:right w:w="0" w:type="dxa"/>
        </w:tblCellMar>
      </w:tblPr>
      <w:tblGrid>
        <w:gridCol w:w="75"/>
        <w:gridCol w:w="110"/>
        <w:gridCol w:w="60"/>
        <w:gridCol w:w="35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regulatory structure and tax treatment; </w:t>
            </w:r>
          </w:p>
        </w:tc>
      </w:tr>
    </w:tbl>
    <w:p>
      <w:pPr>
        <w:pStyle w:val="TextBody"/>
        <w:bidi w:val="0"/>
        <w:spacing w:before="0" w:after="0"/>
        <w:jc w:val="left"/>
        <w:rPr/>
      </w:pPr>
      <w:r>
        <w:rPr/>
        <w:t> </w:t>
      </w:r>
    </w:p>
    <w:tbl>
      <w:tblPr>
        <w:tblW w:w="6610" w:type="dxa"/>
        <w:jc w:val="left"/>
        <w:tblInd w:w="0" w:type="dxa"/>
        <w:tblLayout w:type="fixed"/>
        <w:tblCellMar>
          <w:top w:w="0" w:type="dxa"/>
          <w:left w:w="0" w:type="dxa"/>
          <w:bottom w:w="0" w:type="dxa"/>
          <w:right w:w="0" w:type="dxa"/>
        </w:tblCellMar>
      </w:tblPr>
      <w:tblGrid>
        <w:gridCol w:w="75"/>
        <w:gridCol w:w="110"/>
        <w:gridCol w:w="60"/>
        <w:gridCol w:w="63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operate as a BDC, and a RIC and Fund III to operate as an SBIC; </w:t>
            </w:r>
          </w:p>
        </w:tc>
      </w:tr>
    </w:tbl>
    <w:p>
      <w:pPr>
        <w:pStyle w:val="TextBody"/>
        <w:bidi w:val="0"/>
        <w:spacing w:before="0" w:after="0"/>
        <w:jc w:val="left"/>
        <w:rPr/>
      </w:pPr>
      <w:r>
        <w:rPr/>
        <w:t> </w:t>
      </w:r>
    </w:p>
    <w:tbl>
      <w:tblPr>
        <w:tblW w:w="5110" w:type="dxa"/>
        <w:jc w:val="left"/>
        <w:tblInd w:w="0" w:type="dxa"/>
        <w:tblLayout w:type="fixed"/>
        <w:tblCellMar>
          <w:top w:w="0" w:type="dxa"/>
          <w:left w:w="0" w:type="dxa"/>
          <w:bottom w:w="0" w:type="dxa"/>
          <w:right w:w="0" w:type="dxa"/>
        </w:tblCellMar>
      </w:tblPr>
      <w:tblGrid>
        <w:gridCol w:w="75"/>
        <w:gridCol w:w="110"/>
        <w:gridCol w:w="60"/>
        <w:gridCol w:w="48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timing, form and amount of any dividend distributions;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impact of interest rate volatility, including the replacement of LIBOR with alternate rates and rising interest rates, and the elevated level of inflation on our business and portfolio companies; </w:t>
            </w:r>
          </w:p>
        </w:tc>
      </w:tr>
    </w:tbl>
    <w:p>
      <w:pPr>
        <w:pStyle w:val="TextBody"/>
        <w:bidi w:val="0"/>
        <w:spacing w:before="0" w:after="0"/>
        <w:jc w:val="left"/>
        <w:rPr/>
      </w:pPr>
      <w:r>
        <w:rPr/>
        <w:t> </w:t>
      </w:r>
    </w:p>
    <w:tbl>
      <w:tblPr>
        <w:tblW w:w="9430" w:type="dxa"/>
        <w:jc w:val="left"/>
        <w:tblInd w:w="0" w:type="dxa"/>
        <w:tblLayout w:type="fixed"/>
        <w:tblCellMar>
          <w:top w:w="0" w:type="dxa"/>
          <w:left w:w="0" w:type="dxa"/>
          <w:bottom w:w="0" w:type="dxa"/>
          <w:right w:w="0" w:type="dxa"/>
        </w:tblCellMar>
      </w:tblPr>
      <w:tblGrid>
        <w:gridCol w:w="75"/>
        <w:gridCol w:w="110"/>
        <w:gridCol w:w="60"/>
        <w:gridCol w:w="91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valuation of any investments in portfolio companies, particularly those having no liquid trading market; and </w:t>
            </w:r>
          </w:p>
        </w:tc>
      </w:tr>
    </w:tbl>
    <w:p>
      <w:pPr>
        <w:pStyle w:val="TextBody"/>
        <w:bidi w:val="0"/>
        <w:spacing w:before="0" w:after="0"/>
        <w:jc w:val="left"/>
        <w:rPr/>
      </w:pPr>
      <w:r>
        <w:rPr/>
        <w:t> </w:t>
      </w:r>
    </w:p>
    <w:tbl>
      <w:tblPr>
        <w:tblW w:w="3505" w:type="dxa"/>
        <w:jc w:val="left"/>
        <w:tblInd w:w="0" w:type="dxa"/>
        <w:tblLayout w:type="fixed"/>
        <w:tblCellMar>
          <w:top w:w="0" w:type="dxa"/>
          <w:left w:w="0" w:type="dxa"/>
          <w:bottom w:w="0" w:type="dxa"/>
          <w:right w:w="0" w:type="dxa"/>
        </w:tblCellMar>
      </w:tblPr>
      <w:tblGrid>
        <w:gridCol w:w="75"/>
        <w:gridCol w:w="110"/>
        <w:gridCol w:w="60"/>
        <w:gridCol w:w="32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recover unrealized losses.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economic downturn and significant disruptions to our portfolio companies, including supply chain disruptions and labor shortages, could impair our portfolio companies’ ability to continue to operate, which could lead to the loss of value in of some or all of our investments in such portfolio companies;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contraction of available credit and/or an inability to access the equity markets could impair our lending and investment activities;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interest rate volatility, including rising interest rates, could adversely affect our results, particularly because we use leverage as part of our investment strategy;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alternative reference rates that have replaced LIBOR may not yield the same or similar economic results as LIBOR over the life of such transaction;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elevated level of inflation could adversely affect our business, results of operations and financial condition of our portfolio companies, which may, in turn, impact the valuation of such portfolio companies;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risks, uncertainties and other factors we identify in the section titled “Risk Factors” in this prospectus and in Part I, Item 1A of our most recent Annual Report on Form 10-K, in Part II, Item 1A of our most recent Quarterly Report on Form 10-Q, and those discussed in other documents we file with the SEC.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debt investments, certain margins and levels of profitability and the availability of additional capital. In light of these and other uncertainties, the inclusion of a projection or forward-looking statement in this prospectus should not be regarded as a representation by us that our plans and objectives will be achieved. These risks and uncertainties include those described or identified in “Risk Factors” in Part I, Item 1A of our most recent Annual Report on Form 10-K, in Part II, Item 1A of our most recent Quarterly Report on Form 10-Q, and elsewhere in this prospectus, any applicable prospectus supplement or free writing prospectus, including the documents we incorporate by reference. You should not place undue reliance on these forward-looking statements, which are based on information available to us as of the applicable date of this prospectus, any applicable prospectus supplement or free writing prospectus, including any documents incorporated by reference, and while we believe such information forms, or will form,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on these statements. Except as otherwise required by federal securities laws, we do not undertake to publicly update or revise any forward-looking statements, whether as a result of new information, future events or otherwise. These forward-looking statements do not meet the safe harbor for forward-looking statements pursuant to Section 27A of the Securities Act or Section 21E of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8" w:name="toc29698_6"/>
      <w:bookmarkEnd w:id="8"/>
      <w:r>
        <w:rPr>
          <w:rFonts w:ascii="Times New Roman" w:hAnsi="Times New Roman"/>
          <w:b/>
          <w:sz w:val="20"/>
        </w:rPr>
        <w:t xml:space="preserve">USE OF PROCEEDS </w:t>
      </w:r>
    </w:p>
    <w:p>
      <w:pPr>
        <w:pStyle w:val="TextBody"/>
        <w:bidi w:val="0"/>
        <w:spacing w:before="240" w:after="0"/>
        <w:jc w:val="left"/>
        <w:rPr/>
      </w:pPr>
      <w:r>
        <w:rPr>
          <w:rFonts w:ascii="Times New Roman" w:hAnsi="Times New Roman"/>
          <w:sz w:val="20"/>
        </w:rPr>
        <w:t xml:space="preserve">Unless otherwise specified in any prospectus supplement accompanying this prospectus, we intend to use the net proceeds from the sale of our securities to invest in lower middle-market companies in accordance with our investment objective and strategies, to repay the outstanding indebtedness under our Credit Facility and/or our unsecured debt, if any, and for working capital and general corporate purposes. We also will pay operating expenses, including management, incentive and administrative fees, and may pay other expenses, from the net proceeds of any offering. We plan to raise new equity when we have attractive investment opportunities available. Pending such use, we will invest the net proceeds of any offering primarily in short-term securities consistent with our BDC election and our election to be taxed as a RIC. See “Business — Regulation — Temporary Investments” in Part I, Item 1 in our most recent </w:t>
      </w:r>
      <w:hyperlink r:id="rId14">
        <w:r>
          <w:rPr>
            <w:rStyle w:val="InternetLink"/>
            <w:rFonts w:ascii="Times New Roman" w:hAnsi="Times New Roman"/>
            <w:sz w:val="20"/>
          </w:rPr>
          <w:t>Annual Report on Form 10-K</w:t>
        </w:r>
      </w:hyperlink>
      <w:r>
        <w:rPr>
          <w:rFonts w:ascii="Times New Roman" w:hAnsi="Times New Roman"/>
          <w:sz w:val="20"/>
        </w:rPr>
        <w:t xml:space="preserve"> for additional information about temporary investments we may make while waiting to make longer-term investments in pursuit of our investment objective. </w:t>
      </w:r>
    </w:p>
    <w:p>
      <w:pPr>
        <w:pStyle w:val="TextBody"/>
        <w:bidi w:val="0"/>
        <w:spacing w:before="240" w:after="0"/>
        <w:jc w:val="left"/>
        <w:rPr/>
      </w:pPr>
      <w:r>
        <w:rPr>
          <w:rFonts w:ascii="Times New Roman" w:hAnsi="Times New Roman"/>
          <w:sz w:val="20"/>
        </w:rPr>
        <w:t xml:space="preserve">Pending such use, we will invest the net proceeds of this offering primarily in cash, cash equivalents, U.S. Government securities and other high-quality debt instruments that mature in one year or less, or “temporary investments,” as appropriate. These securities may have lower yields than our other investments and accordingly result in lower distributions, if any, by us during such period. See “Business — Regulation — Temporary Investments” in Part I, Item 1 in our most recent </w:t>
      </w:r>
      <w:hyperlink r:id="rId15">
        <w:r>
          <w:rPr>
            <w:rStyle w:val="InternetLink"/>
            <w:rFonts w:ascii="Times New Roman" w:hAnsi="Times New Roman"/>
            <w:sz w:val="20"/>
          </w:rPr>
          <w:t>Annual Report on Form 10-K</w:t>
        </w:r>
      </w:hyperlink>
      <w:r>
        <w:rPr>
          <w:rFonts w:ascii="Times New Roman" w:hAnsi="Times New Roman"/>
          <w:sz w:val="20"/>
        </w:rPr>
        <w:t xml:space="preserve">. Our ability to achieve our investment objective may be limited to the extent that the net proceeds from the offering, pending full investment, are held in interest bearing deposits or other short-term instruments that produce income at a rate less than our cost of capital.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9" w:name="toc29698_7"/>
      <w:bookmarkEnd w:id="9"/>
      <w:r>
        <w:rPr>
          <w:rFonts w:ascii="Times New Roman" w:hAnsi="Times New Roman"/>
          <w:b/>
          <w:sz w:val="20"/>
        </w:rPr>
        <w:t xml:space="preserve">PRICE RANGE OF COMMON STOCK </w:t>
      </w:r>
    </w:p>
    <w:p>
      <w:pPr>
        <w:pStyle w:val="TextBody"/>
        <w:bidi w:val="0"/>
        <w:spacing w:before="240" w:after="0"/>
        <w:jc w:val="left"/>
        <w:rPr/>
      </w:pPr>
      <w:r>
        <w:rPr>
          <w:rFonts w:ascii="Times New Roman" w:hAnsi="Times New Roman"/>
          <w:sz w:val="20"/>
        </w:rPr>
        <w:t xml:space="preserve">The information in “Item 5. Market for Registrant’s Common Equity, Related Stockholder Matters and Issuer Purchases of Equity Securities — Issuer Purchases of Equity Securities” in Part II of our most recent </w:t>
      </w:r>
      <w:hyperlink r:id="rId16">
        <w:r>
          <w:rPr>
            <w:rStyle w:val="InternetLink"/>
            <w:rFonts w:ascii="Times New Roman" w:hAnsi="Times New Roman"/>
            <w:sz w:val="20"/>
          </w:rPr>
          <w:t>Annual Report on Form 10-K</w:t>
        </w:r>
      </w:hyperlink>
      <w:r>
        <w:rPr>
          <w:rFonts w:ascii="Times New Roman" w:hAnsi="Times New Roman"/>
          <w:sz w:val="20"/>
        </w:rPr>
        <w:t xml:space="preserve"> is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Our common stock began trading on June 21, 2011 on the NASDAQ Global Market under the symbol “FDUS.” Effective January 3, 2012, our common stock was included in the Nasdaq Global Select Market. The last reported price for our common stock on May 3, 2024 was $19.98 per share. As of May 3, 2024, we had 20 stockholders of record.</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lists the high and low closing sale price for our common stock, and the closing sale price as a percentage of net asset value, or NAV, on our common stock for each fiscal quarter during the last two most recently completed fiscal years and each full fiscal quarter since the beginning of the current fiscal year.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37"/>
        <w:gridCol w:w="60"/>
        <w:gridCol w:w="143"/>
        <w:gridCol w:w="573"/>
        <w:gridCol w:w="60"/>
        <w:gridCol w:w="60"/>
        <w:gridCol w:w="268"/>
        <w:gridCol w:w="1072"/>
        <w:gridCol w:w="60"/>
        <w:gridCol w:w="60"/>
        <w:gridCol w:w="262"/>
        <w:gridCol w:w="1048"/>
        <w:gridCol w:w="60"/>
        <w:gridCol w:w="60"/>
        <w:gridCol w:w="346"/>
        <w:gridCol w:w="1849"/>
        <w:gridCol w:w="275"/>
        <w:gridCol w:w="60"/>
        <w:gridCol w:w="255"/>
        <w:gridCol w:w="2195"/>
        <w:gridCol w:w="302"/>
      </w:tblGrid>
      <w:tr>
        <w:trPr/>
        <w:tc>
          <w:tcPr>
            <w:tcW w:w="11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b/>
              </w:rPr>
            </w:pPr>
            <w:r>
              <w:rPr>
                <w:b/>
              </w:rPr>
              <w:t>Period</w:t>
            </w:r>
          </w:p>
        </w:tc>
        <w:tc>
          <w:tcPr>
            <w:tcW w:w="60" w:type="dxa"/>
            <w:tcBorders/>
            <w:vAlign w:val="center"/>
          </w:tcPr>
          <w:p>
            <w:pPr>
              <w:pStyle w:val="TableContents"/>
              <w:bidi w:val="0"/>
              <w:spacing w:before="0" w:after="283"/>
              <w:jc w:val="left"/>
              <w:rPr/>
            </w:pPr>
            <w:r>
              <w:rPr/>
              <w:t> </w:t>
            </w:r>
          </w:p>
        </w:tc>
        <w:tc>
          <w:tcPr>
            <w:tcW w:w="716" w:type="dxa"/>
            <w:gridSpan w:val="2"/>
            <w:tcBorders/>
            <w:vAlign w:val="center"/>
          </w:tcPr>
          <w:p>
            <w:pPr>
              <w:pStyle w:val="TableContents"/>
              <w:bidi w:val="0"/>
              <w:spacing w:before="0" w:after="283"/>
              <w:jc w:val="center"/>
              <w:rPr>
                <w:b/>
              </w:rPr>
            </w:pPr>
            <w:r>
              <w:rPr>
                <w:b/>
              </w:rPr>
              <w:t>NAV(1)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rPr>
            </w:pPr>
            <w:r>
              <w:rPr>
                <w:b/>
              </w:rPr>
              <w:t>High Closing</w:t>
              <w:br/>
              <w:t>Sales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center"/>
              <w:rPr>
                <w:b/>
              </w:rPr>
            </w:pPr>
            <w:r>
              <w:rPr>
                <w:b/>
              </w:rPr>
              <w:t>Low Closing</w:t>
              <w:br/>
              <w:t>Sales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5" w:type="dxa"/>
            <w:gridSpan w:val="2"/>
            <w:tcBorders/>
            <w:vAlign w:val="center"/>
          </w:tcPr>
          <w:p>
            <w:pPr>
              <w:pStyle w:val="TableContents"/>
              <w:bidi w:val="0"/>
              <w:spacing w:before="0" w:after="283"/>
              <w:jc w:val="center"/>
              <w:rPr>
                <w:b/>
              </w:rPr>
            </w:pPr>
            <w:r>
              <w:rPr>
                <w:b/>
              </w:rPr>
              <w:t>Premium / (Discount)</w:t>
              <w:br/>
              <w:t>of High Sales Price to</w:t>
              <w:br/>
              <w:t>NAV(2)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gridSpan w:val="2"/>
            <w:tcBorders/>
            <w:vAlign w:val="center"/>
          </w:tcPr>
          <w:p>
            <w:pPr>
              <w:pStyle w:val="TableContents"/>
              <w:bidi w:val="0"/>
              <w:spacing w:before="0" w:after="283"/>
              <w:jc w:val="center"/>
              <w:rPr>
                <w:b/>
              </w:rPr>
            </w:pPr>
            <w:r>
              <w:rPr>
                <w:b/>
              </w:rPr>
              <w:t>Premium / (Discount) of</w:t>
              <w:br/>
              <w:t>Low Sales Price to</w:t>
              <w:br/>
              <w:t>NAV(2)</w:t>
            </w:r>
          </w:p>
        </w:tc>
        <w:tc>
          <w:tcPr>
            <w:tcW w:w="302" w:type="dxa"/>
            <w:tcBorders/>
            <w:vAlign w:val="center"/>
          </w:tcPr>
          <w:p>
            <w:pPr>
              <w:pStyle w:val="TableContents"/>
              <w:bidi w:val="0"/>
              <w:spacing w:before="0" w:after="283"/>
              <w:jc w:val="left"/>
              <w:rPr/>
            </w:pPr>
            <w:r>
              <w:rPr/>
              <w:t> </w:t>
            </w:r>
          </w:p>
        </w:tc>
      </w:tr>
      <w:tr>
        <w:trPr/>
        <w:tc>
          <w:tcPr>
            <w:tcW w:w="1137"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Year Ended December 31, 2024:</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sz w:val="4"/>
                <w:szCs w:val="4"/>
              </w:rPr>
            </w:pPr>
            <w:r>
              <w:rPr>
                <w:sz w:val="4"/>
                <w:szCs w:val="4"/>
              </w:rPr>
            </w:r>
          </w:p>
        </w:tc>
        <w:tc>
          <w:tcPr>
            <w:tcW w:w="107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sz w:val="4"/>
                <w:szCs w:val="4"/>
              </w:rPr>
            </w:pPr>
            <w:r>
              <w:rPr>
                <w:sz w:val="4"/>
                <w:szCs w:val="4"/>
              </w:rPr>
            </w:r>
          </w:p>
        </w:tc>
        <w:tc>
          <w:tcPr>
            <w:tcW w:w="104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sz w:val="4"/>
                <w:szCs w:val="4"/>
              </w:rPr>
            </w:pPr>
            <w:r>
              <w:rPr>
                <w:sz w:val="4"/>
                <w:szCs w:val="4"/>
              </w:rPr>
            </w:r>
          </w:p>
        </w:tc>
        <w:tc>
          <w:tcPr>
            <w:tcW w:w="1849"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sz w:val="4"/>
                <w:szCs w:val="4"/>
              </w:rPr>
            </w:pPr>
            <w:r>
              <w:rPr>
                <w:sz w:val="4"/>
                <w:szCs w:val="4"/>
              </w:rPr>
            </w:r>
          </w:p>
        </w:tc>
        <w:tc>
          <w:tcPr>
            <w:tcW w:w="2195" w:type="dxa"/>
            <w:tcBorders/>
            <w:shd w:fill="CCEEFF" w:val="clear"/>
            <w:vAlign w:val="center"/>
          </w:tcPr>
          <w:p>
            <w:pPr>
              <w:pStyle w:val="TableContents"/>
              <w:bidi w:val="0"/>
              <w:spacing w:before="0" w:after="283"/>
              <w:jc w:val="left"/>
              <w:rPr>
                <w:sz w:val="4"/>
                <w:szCs w:val="4"/>
              </w:rPr>
            </w:pPr>
            <w:r>
              <w:rPr>
                <w:sz w:val="4"/>
                <w:szCs w:val="4"/>
              </w:rPr>
            </w:r>
          </w:p>
        </w:tc>
        <w:tc>
          <w:tcPr>
            <w:tcW w:w="302" w:type="dxa"/>
            <w:tcBorders/>
            <w:shd w:fill="CCEEFF" w:val="clear"/>
            <w:vAlign w:val="center"/>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First Quarter</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w:t>
            </w:r>
          </w:p>
        </w:tc>
        <w:tc>
          <w:tcPr>
            <w:tcW w:w="573" w:type="dxa"/>
            <w:tcBorders/>
            <w:vAlign w:val="center"/>
          </w:tcPr>
          <w:p>
            <w:pPr>
              <w:pStyle w:val="TableContents"/>
              <w:bidi w:val="0"/>
              <w:spacing w:before="0" w:after="283"/>
              <w:jc w:val="right"/>
              <w:rPr/>
            </w:pPr>
            <w:r>
              <w:rPr/>
              <w:t>19.36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w:t>
            </w:r>
          </w:p>
        </w:tc>
        <w:tc>
          <w:tcPr>
            <w:tcW w:w="1072" w:type="dxa"/>
            <w:tcBorders/>
            <w:vAlign w:val="center"/>
          </w:tcPr>
          <w:p>
            <w:pPr>
              <w:pStyle w:val="TableContents"/>
              <w:bidi w:val="0"/>
              <w:spacing w:before="0" w:after="283"/>
              <w:jc w:val="right"/>
              <w:rPr/>
            </w:pPr>
            <w:r>
              <w:rPr/>
              <w:t>20.04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w:t>
            </w:r>
          </w:p>
        </w:tc>
        <w:tc>
          <w:tcPr>
            <w:tcW w:w="1048" w:type="dxa"/>
            <w:tcBorders/>
            <w:vAlign w:val="center"/>
          </w:tcPr>
          <w:p>
            <w:pPr>
              <w:pStyle w:val="TableContents"/>
              <w:bidi w:val="0"/>
              <w:spacing w:before="0" w:after="283"/>
              <w:jc w:val="right"/>
              <w:rPr/>
            </w:pPr>
            <w:r>
              <w:rPr/>
              <w:t>18.79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1849" w:type="dxa"/>
            <w:tcBorders/>
            <w:vAlign w:val="center"/>
          </w:tcPr>
          <w:p>
            <w:pPr>
              <w:pStyle w:val="TableContents"/>
              <w:bidi w:val="0"/>
              <w:spacing w:before="0" w:after="283"/>
              <w:jc w:val="right"/>
              <w:rPr/>
            </w:pPr>
            <w:r>
              <w:rPr/>
              <w:t>3.5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right"/>
              <w:rPr/>
            </w:pPr>
            <w:r>
              <w:rPr/>
              <w:t>(2.9</w:t>
            </w:r>
          </w:p>
        </w:tc>
        <w:tc>
          <w:tcPr>
            <w:tcW w:w="302" w:type="dxa"/>
            <w:tcBorders/>
            <w:vAlign w:val="center"/>
          </w:tcPr>
          <w:p>
            <w:pPr>
              <w:pStyle w:val="TableContents"/>
              <w:bidi w:val="0"/>
              <w:spacing w:before="0" w:after="283"/>
              <w:jc w:val="left"/>
              <w:rPr/>
            </w:pPr>
            <w:r>
              <w:rPr/>
              <w:t>)% </w:t>
            </w:r>
          </w:p>
        </w:tc>
      </w:tr>
      <w:tr>
        <w:trPr/>
        <w:tc>
          <w:tcPr>
            <w:tcW w:w="113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Second (through May 3, 2024)</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57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20.47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19.44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1849"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pPr>
            <w:r>
              <w:rPr/>
              <w:t>*</w:t>
            </w:r>
          </w:p>
        </w:tc>
        <w:tc>
          <w:tcPr>
            <w:tcW w:w="302" w:type="dxa"/>
            <w:tcBorders/>
            <w:shd w:fill="CCEEFF" w:val="clear"/>
            <w:vAlign w:val="center"/>
          </w:tcPr>
          <w:p>
            <w:pPr>
              <w:pStyle w:val="TableContents"/>
              <w:bidi w:val="0"/>
              <w:spacing w:before="0" w:after="283"/>
              <w:jc w:val="left"/>
              <w:rPr/>
            </w:pPr>
            <w:r>
              <w:rPr/>
              <w:t> </w:t>
            </w:r>
          </w:p>
        </w:tc>
      </w:tr>
      <w:tr>
        <w:trPr/>
        <w:tc>
          <w:tcPr>
            <w:tcW w:w="1137" w:type="dxa"/>
            <w:tcBorders/>
            <w:vAlign w:val="center"/>
          </w:tcPr>
          <w:p>
            <w:pPr>
              <w:pStyle w:val="TableContents"/>
              <w:bidi w:val="0"/>
              <w:spacing w:before="0" w:after="283"/>
              <w:jc w:val="left"/>
              <w:rPr>
                <w:sz w:val="4"/>
                <w:szCs w:val="4"/>
              </w:rPr>
            </w:pPr>
            <w:r>
              <w:rPr>
                <w:sz w:val="4"/>
                <w:szCs w:val="4"/>
              </w:rPr>
            </w:r>
          </w:p>
        </w:tc>
        <w:tc>
          <w:tcPr>
            <w:tcW w:w="836" w:type="dxa"/>
            <w:gridSpan w:val="4"/>
            <w:tcBorders/>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left"/>
              <w:rPr>
                <w:sz w:val="4"/>
                <w:szCs w:val="4"/>
              </w:rPr>
            </w:pPr>
            <w:r>
              <w:rPr>
                <w:sz w:val="4"/>
                <w:szCs w:val="4"/>
              </w:rPr>
            </w:r>
          </w:p>
        </w:tc>
        <w:tc>
          <w:tcPr>
            <w:tcW w:w="1430" w:type="dxa"/>
            <w:gridSpan w:val="4"/>
            <w:tcBorders/>
            <w:vAlign w:val="center"/>
          </w:tcPr>
          <w:p>
            <w:pPr>
              <w:pStyle w:val="TableContents"/>
              <w:bidi w:val="0"/>
              <w:spacing w:before="0" w:after="283"/>
              <w:jc w:val="left"/>
              <w:rPr>
                <w:sz w:val="4"/>
                <w:szCs w:val="4"/>
              </w:rPr>
            </w:pPr>
            <w:r>
              <w:rPr>
                <w:sz w:val="4"/>
                <w:szCs w:val="4"/>
              </w:rPr>
            </w:r>
          </w:p>
        </w:tc>
        <w:tc>
          <w:tcPr>
            <w:tcW w:w="2530" w:type="dxa"/>
            <w:gridSpan w:val="4"/>
            <w:tcBorders/>
            <w:vAlign w:val="center"/>
          </w:tcPr>
          <w:p>
            <w:pPr>
              <w:pStyle w:val="TableContents"/>
              <w:bidi w:val="0"/>
              <w:spacing w:before="0" w:after="283"/>
              <w:jc w:val="left"/>
              <w:rPr>
                <w:sz w:val="4"/>
                <w:szCs w:val="4"/>
              </w:rPr>
            </w:pPr>
            <w:r>
              <w:rPr>
                <w:sz w:val="4"/>
                <w:szCs w:val="4"/>
              </w:rPr>
            </w:r>
          </w:p>
        </w:tc>
        <w:tc>
          <w:tcPr>
            <w:tcW w:w="2812" w:type="dxa"/>
            <w:gridSpan w:val="4"/>
            <w:tcBorders/>
            <w:vAlign w:val="center"/>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Year Ended December 31, 2023:</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113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First Quarter</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573" w:type="dxa"/>
            <w:tcBorders/>
            <w:shd w:fill="CCEEFF" w:val="clear"/>
            <w:vAlign w:val="center"/>
          </w:tcPr>
          <w:p>
            <w:pPr>
              <w:pStyle w:val="TableContents"/>
              <w:bidi w:val="0"/>
              <w:spacing w:before="0" w:after="283"/>
              <w:jc w:val="right"/>
              <w:rPr/>
            </w:pPr>
            <w:r>
              <w:rPr/>
              <w:t>19.39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w:t>
            </w:r>
          </w:p>
        </w:tc>
        <w:tc>
          <w:tcPr>
            <w:tcW w:w="1072" w:type="dxa"/>
            <w:tcBorders/>
            <w:shd w:fill="CCEEFF" w:val="clear"/>
            <w:vAlign w:val="center"/>
          </w:tcPr>
          <w:p>
            <w:pPr>
              <w:pStyle w:val="TableContents"/>
              <w:bidi w:val="0"/>
              <w:spacing w:before="0" w:after="283"/>
              <w:jc w:val="right"/>
              <w:rPr/>
            </w:pPr>
            <w:r>
              <w:rPr/>
              <w:t>20.90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w:t>
            </w:r>
          </w:p>
        </w:tc>
        <w:tc>
          <w:tcPr>
            <w:tcW w:w="1048" w:type="dxa"/>
            <w:tcBorders/>
            <w:shd w:fill="CCEEFF" w:val="clear"/>
            <w:vAlign w:val="center"/>
          </w:tcPr>
          <w:p>
            <w:pPr>
              <w:pStyle w:val="TableContents"/>
              <w:bidi w:val="0"/>
              <w:spacing w:before="0" w:after="283"/>
              <w:jc w:val="right"/>
              <w:rPr/>
            </w:pPr>
            <w:r>
              <w:rPr/>
              <w:t>18.29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1849" w:type="dxa"/>
            <w:tcBorders/>
            <w:shd w:fill="CCEEFF" w:val="clear"/>
            <w:vAlign w:val="center"/>
          </w:tcPr>
          <w:p>
            <w:pPr>
              <w:pStyle w:val="TableContents"/>
              <w:bidi w:val="0"/>
              <w:spacing w:before="0" w:after="283"/>
              <w:jc w:val="right"/>
              <w:rPr/>
            </w:pPr>
            <w:r>
              <w:rPr/>
              <w:t>7.8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pPr>
            <w:r>
              <w:rPr/>
              <w:t>(5.7</w:t>
            </w:r>
          </w:p>
        </w:tc>
        <w:tc>
          <w:tcPr>
            <w:tcW w:w="302" w:type="dxa"/>
            <w:tcBorders/>
            <w:shd w:fill="CCEEFF" w:val="clear"/>
            <w:vAlign w:val="center"/>
          </w:tcPr>
          <w:p>
            <w:pPr>
              <w:pStyle w:val="TableContents"/>
              <w:bidi w:val="0"/>
              <w:spacing w:before="0" w:after="283"/>
              <w:jc w:val="left"/>
              <w:rPr/>
            </w:pPr>
            <w:r>
              <w:rPr/>
              <w:t>)% </w:t>
            </w:r>
          </w:p>
        </w:tc>
      </w:tr>
      <w:tr>
        <w:trPr/>
        <w:tc>
          <w:tcPr>
            <w:tcW w:w="11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Second Quarter</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right"/>
              <w:rPr/>
            </w:pPr>
            <w:r>
              <w:rPr/>
              <w:t>19.13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 </w:t>
            </w:r>
          </w:p>
        </w:tc>
        <w:tc>
          <w:tcPr>
            <w:tcW w:w="1072" w:type="dxa"/>
            <w:tcBorders/>
            <w:vAlign w:val="center"/>
          </w:tcPr>
          <w:p>
            <w:pPr>
              <w:pStyle w:val="TableContents"/>
              <w:bidi w:val="0"/>
              <w:spacing w:before="0" w:after="283"/>
              <w:jc w:val="right"/>
              <w:rPr/>
            </w:pPr>
            <w:r>
              <w:rPr/>
              <w:t>20.08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right"/>
              <w:rPr/>
            </w:pPr>
            <w:r>
              <w:rPr/>
              <w:t>18.10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1849" w:type="dxa"/>
            <w:tcBorders/>
            <w:vAlign w:val="center"/>
          </w:tcPr>
          <w:p>
            <w:pPr>
              <w:pStyle w:val="TableContents"/>
              <w:bidi w:val="0"/>
              <w:spacing w:before="0" w:after="283"/>
              <w:jc w:val="right"/>
              <w:rPr/>
            </w:pPr>
            <w:r>
              <w:rPr/>
              <w:t>5.0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right"/>
              <w:rPr/>
            </w:pPr>
            <w:r>
              <w:rPr/>
              <w:t>(5.4</w:t>
            </w:r>
          </w:p>
        </w:tc>
        <w:tc>
          <w:tcPr>
            <w:tcW w:w="302" w:type="dxa"/>
            <w:tcBorders/>
            <w:vAlign w:val="center"/>
          </w:tcPr>
          <w:p>
            <w:pPr>
              <w:pStyle w:val="TableContents"/>
              <w:bidi w:val="0"/>
              <w:spacing w:before="0" w:after="283"/>
              <w:jc w:val="left"/>
              <w:rPr/>
            </w:pPr>
            <w:r>
              <w:rPr/>
              <w:t>) </w:t>
            </w:r>
          </w:p>
        </w:tc>
      </w:tr>
      <w:tr>
        <w:trPr/>
        <w:tc>
          <w:tcPr>
            <w:tcW w:w="113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Third Quarter</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573" w:type="dxa"/>
            <w:tcBorders/>
            <w:shd w:fill="CCEEFF" w:val="clear"/>
            <w:vAlign w:val="center"/>
          </w:tcPr>
          <w:p>
            <w:pPr>
              <w:pStyle w:val="TableContents"/>
              <w:bidi w:val="0"/>
              <w:spacing w:before="0" w:after="283"/>
              <w:jc w:val="right"/>
              <w:rPr/>
            </w:pPr>
            <w:r>
              <w:rPr/>
              <w:t>19.28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20.98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18.80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1849" w:type="dxa"/>
            <w:tcBorders/>
            <w:shd w:fill="CCEEFF" w:val="clear"/>
            <w:vAlign w:val="center"/>
          </w:tcPr>
          <w:p>
            <w:pPr>
              <w:pStyle w:val="TableContents"/>
              <w:bidi w:val="0"/>
              <w:spacing w:before="0" w:after="283"/>
              <w:jc w:val="right"/>
              <w:rPr/>
            </w:pPr>
            <w:r>
              <w:rPr/>
              <w:t>8.8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pPr>
            <w:r>
              <w:rPr/>
              <w:t>(2.5</w:t>
            </w:r>
          </w:p>
        </w:tc>
        <w:tc>
          <w:tcPr>
            <w:tcW w:w="302" w:type="dxa"/>
            <w:tcBorders/>
            <w:shd w:fill="CCEEFF" w:val="clear"/>
            <w:vAlign w:val="center"/>
          </w:tcPr>
          <w:p>
            <w:pPr>
              <w:pStyle w:val="TableContents"/>
              <w:bidi w:val="0"/>
              <w:spacing w:before="0" w:after="283"/>
              <w:jc w:val="left"/>
              <w:rPr/>
            </w:pPr>
            <w:r>
              <w:rPr/>
              <w:t>) </w:t>
            </w:r>
          </w:p>
        </w:tc>
      </w:tr>
      <w:tr>
        <w:trPr/>
        <w:tc>
          <w:tcPr>
            <w:tcW w:w="11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Fourth Quarter</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right"/>
              <w:rPr/>
            </w:pPr>
            <w:r>
              <w:rPr/>
              <w:t>19.37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 </w:t>
            </w:r>
          </w:p>
        </w:tc>
        <w:tc>
          <w:tcPr>
            <w:tcW w:w="1072" w:type="dxa"/>
            <w:tcBorders/>
            <w:vAlign w:val="center"/>
          </w:tcPr>
          <w:p>
            <w:pPr>
              <w:pStyle w:val="TableContents"/>
              <w:bidi w:val="0"/>
              <w:spacing w:before="0" w:after="283"/>
              <w:jc w:val="right"/>
              <w:rPr/>
            </w:pPr>
            <w:r>
              <w:rPr/>
              <w:t>20.13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right"/>
              <w:rPr/>
            </w:pPr>
            <w:r>
              <w:rPr/>
              <w:t>17.69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1849" w:type="dxa"/>
            <w:tcBorders/>
            <w:vAlign w:val="center"/>
          </w:tcPr>
          <w:p>
            <w:pPr>
              <w:pStyle w:val="TableContents"/>
              <w:bidi w:val="0"/>
              <w:spacing w:before="0" w:after="283"/>
              <w:jc w:val="right"/>
              <w:rPr/>
            </w:pPr>
            <w:r>
              <w:rPr/>
              <w:t>3.9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right"/>
              <w:rPr/>
            </w:pPr>
            <w:r>
              <w:rPr/>
              <w:t>(8.7</w:t>
            </w:r>
          </w:p>
        </w:tc>
        <w:tc>
          <w:tcPr>
            <w:tcW w:w="302" w:type="dxa"/>
            <w:tcBorders/>
            <w:vAlign w:val="center"/>
          </w:tcPr>
          <w:p>
            <w:pPr>
              <w:pStyle w:val="TableContents"/>
              <w:bidi w:val="0"/>
              <w:spacing w:before="0" w:after="283"/>
              <w:jc w:val="left"/>
              <w:rPr/>
            </w:pPr>
            <w:r>
              <w:rPr/>
              <w:t>) </w:t>
            </w:r>
          </w:p>
        </w:tc>
      </w:tr>
      <w:tr>
        <w:trPr/>
        <w:tc>
          <w:tcPr>
            <w:tcW w:w="1137" w:type="dxa"/>
            <w:tcBorders/>
            <w:vAlign w:val="center"/>
          </w:tcPr>
          <w:p>
            <w:pPr>
              <w:pStyle w:val="TableContents"/>
              <w:bidi w:val="0"/>
              <w:spacing w:before="0" w:after="283"/>
              <w:jc w:val="left"/>
              <w:rPr>
                <w:sz w:val="4"/>
                <w:szCs w:val="4"/>
              </w:rPr>
            </w:pPr>
            <w:r>
              <w:rPr>
                <w:sz w:val="4"/>
                <w:szCs w:val="4"/>
              </w:rPr>
            </w:r>
          </w:p>
        </w:tc>
        <w:tc>
          <w:tcPr>
            <w:tcW w:w="836" w:type="dxa"/>
            <w:gridSpan w:val="4"/>
            <w:tcBorders/>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left"/>
              <w:rPr>
                <w:sz w:val="4"/>
                <w:szCs w:val="4"/>
              </w:rPr>
            </w:pPr>
            <w:r>
              <w:rPr>
                <w:sz w:val="4"/>
                <w:szCs w:val="4"/>
              </w:rPr>
            </w:r>
          </w:p>
        </w:tc>
        <w:tc>
          <w:tcPr>
            <w:tcW w:w="1430" w:type="dxa"/>
            <w:gridSpan w:val="4"/>
            <w:tcBorders/>
            <w:vAlign w:val="center"/>
          </w:tcPr>
          <w:p>
            <w:pPr>
              <w:pStyle w:val="TableContents"/>
              <w:bidi w:val="0"/>
              <w:spacing w:before="0" w:after="283"/>
              <w:jc w:val="left"/>
              <w:rPr>
                <w:sz w:val="4"/>
                <w:szCs w:val="4"/>
              </w:rPr>
            </w:pPr>
            <w:r>
              <w:rPr>
                <w:sz w:val="4"/>
                <w:szCs w:val="4"/>
              </w:rPr>
            </w:r>
          </w:p>
        </w:tc>
        <w:tc>
          <w:tcPr>
            <w:tcW w:w="2530" w:type="dxa"/>
            <w:gridSpan w:val="4"/>
            <w:tcBorders/>
            <w:vAlign w:val="center"/>
          </w:tcPr>
          <w:p>
            <w:pPr>
              <w:pStyle w:val="TableContents"/>
              <w:bidi w:val="0"/>
              <w:spacing w:before="0" w:after="283"/>
              <w:jc w:val="left"/>
              <w:rPr>
                <w:sz w:val="4"/>
                <w:szCs w:val="4"/>
              </w:rPr>
            </w:pPr>
            <w:r>
              <w:rPr>
                <w:sz w:val="4"/>
                <w:szCs w:val="4"/>
              </w:rPr>
            </w:r>
          </w:p>
        </w:tc>
        <w:tc>
          <w:tcPr>
            <w:tcW w:w="2812" w:type="dxa"/>
            <w:gridSpan w:val="4"/>
            <w:tcBorders/>
            <w:vAlign w:val="center"/>
          </w:tcPr>
          <w:p>
            <w:pPr>
              <w:pStyle w:val="TableContents"/>
              <w:bidi w:val="0"/>
              <w:spacing w:before="0" w:after="283"/>
              <w:jc w:val="left"/>
              <w:rPr>
                <w:sz w:val="4"/>
                <w:szCs w:val="4"/>
              </w:rPr>
            </w:pPr>
            <w:r>
              <w:rPr>
                <w:sz w:val="4"/>
                <w:szCs w:val="4"/>
              </w:rPr>
            </w:r>
          </w:p>
        </w:tc>
      </w:tr>
      <w:tr>
        <w:trPr/>
        <w:tc>
          <w:tcPr>
            <w:tcW w:w="1137"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Year Ended December 31, 2022:</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sz w:val="4"/>
                <w:szCs w:val="4"/>
              </w:rPr>
            </w:pPr>
            <w:r>
              <w:rPr>
                <w:sz w:val="4"/>
                <w:szCs w:val="4"/>
              </w:rPr>
            </w:r>
          </w:p>
        </w:tc>
        <w:tc>
          <w:tcPr>
            <w:tcW w:w="107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sz w:val="4"/>
                <w:szCs w:val="4"/>
              </w:rPr>
            </w:pPr>
            <w:r>
              <w:rPr>
                <w:sz w:val="4"/>
                <w:szCs w:val="4"/>
              </w:rPr>
            </w:r>
          </w:p>
        </w:tc>
        <w:tc>
          <w:tcPr>
            <w:tcW w:w="104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sz w:val="4"/>
                <w:szCs w:val="4"/>
              </w:rPr>
            </w:pPr>
            <w:r>
              <w:rPr>
                <w:sz w:val="4"/>
                <w:szCs w:val="4"/>
              </w:rPr>
            </w:r>
          </w:p>
        </w:tc>
        <w:tc>
          <w:tcPr>
            <w:tcW w:w="1849"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sz w:val="4"/>
                <w:szCs w:val="4"/>
              </w:rPr>
            </w:pPr>
            <w:r>
              <w:rPr>
                <w:sz w:val="4"/>
                <w:szCs w:val="4"/>
              </w:rPr>
            </w:r>
          </w:p>
        </w:tc>
        <w:tc>
          <w:tcPr>
            <w:tcW w:w="2195" w:type="dxa"/>
            <w:tcBorders/>
            <w:shd w:fill="CCEEFF" w:val="clear"/>
            <w:vAlign w:val="center"/>
          </w:tcPr>
          <w:p>
            <w:pPr>
              <w:pStyle w:val="TableContents"/>
              <w:bidi w:val="0"/>
              <w:spacing w:before="0" w:after="283"/>
              <w:jc w:val="left"/>
              <w:rPr>
                <w:sz w:val="4"/>
                <w:szCs w:val="4"/>
              </w:rPr>
            </w:pPr>
            <w:r>
              <w:rPr>
                <w:sz w:val="4"/>
                <w:szCs w:val="4"/>
              </w:rPr>
            </w:r>
          </w:p>
        </w:tc>
        <w:tc>
          <w:tcPr>
            <w:tcW w:w="302" w:type="dxa"/>
            <w:tcBorders/>
            <w:shd w:fill="CCEEFF" w:val="clear"/>
            <w:vAlign w:val="center"/>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First Quarter</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w:t>
            </w:r>
          </w:p>
        </w:tc>
        <w:tc>
          <w:tcPr>
            <w:tcW w:w="573" w:type="dxa"/>
            <w:tcBorders/>
            <w:vAlign w:val="center"/>
          </w:tcPr>
          <w:p>
            <w:pPr>
              <w:pStyle w:val="TableContents"/>
              <w:bidi w:val="0"/>
              <w:spacing w:before="0" w:after="283"/>
              <w:jc w:val="right"/>
              <w:rPr/>
            </w:pPr>
            <w:r>
              <w:rPr/>
              <w:t>19.91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w:t>
            </w:r>
          </w:p>
        </w:tc>
        <w:tc>
          <w:tcPr>
            <w:tcW w:w="1072" w:type="dxa"/>
            <w:tcBorders/>
            <w:vAlign w:val="center"/>
          </w:tcPr>
          <w:p>
            <w:pPr>
              <w:pStyle w:val="TableContents"/>
              <w:bidi w:val="0"/>
              <w:spacing w:before="0" w:after="283"/>
              <w:jc w:val="right"/>
              <w:rPr/>
            </w:pPr>
            <w:r>
              <w:rPr/>
              <w:t>20.52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w:t>
            </w:r>
          </w:p>
        </w:tc>
        <w:tc>
          <w:tcPr>
            <w:tcW w:w="1048" w:type="dxa"/>
            <w:tcBorders/>
            <w:vAlign w:val="center"/>
          </w:tcPr>
          <w:p>
            <w:pPr>
              <w:pStyle w:val="TableContents"/>
              <w:bidi w:val="0"/>
              <w:spacing w:before="0" w:after="283"/>
              <w:jc w:val="right"/>
              <w:rPr/>
            </w:pPr>
            <w:r>
              <w:rPr/>
              <w:t>17.02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1849" w:type="dxa"/>
            <w:tcBorders/>
            <w:vAlign w:val="center"/>
          </w:tcPr>
          <w:p>
            <w:pPr>
              <w:pStyle w:val="TableContents"/>
              <w:bidi w:val="0"/>
              <w:spacing w:before="0" w:after="283"/>
              <w:jc w:val="right"/>
              <w:rPr/>
            </w:pPr>
            <w:r>
              <w:rPr/>
              <w:t>3.1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right"/>
              <w:rPr/>
            </w:pPr>
            <w:r>
              <w:rPr/>
              <w:t>(14.5</w:t>
            </w:r>
          </w:p>
        </w:tc>
        <w:tc>
          <w:tcPr>
            <w:tcW w:w="302" w:type="dxa"/>
            <w:tcBorders/>
            <w:vAlign w:val="center"/>
          </w:tcPr>
          <w:p>
            <w:pPr>
              <w:pStyle w:val="TableContents"/>
              <w:bidi w:val="0"/>
              <w:spacing w:before="0" w:after="283"/>
              <w:jc w:val="left"/>
              <w:rPr/>
            </w:pPr>
            <w:r>
              <w:rPr/>
              <w:t>)% </w:t>
            </w:r>
          </w:p>
        </w:tc>
      </w:tr>
      <w:tr>
        <w:trPr/>
        <w:tc>
          <w:tcPr>
            <w:tcW w:w="113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Second Quarter</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573" w:type="dxa"/>
            <w:tcBorders/>
            <w:shd w:fill="CCEEFF" w:val="clear"/>
            <w:vAlign w:val="center"/>
          </w:tcPr>
          <w:p>
            <w:pPr>
              <w:pStyle w:val="TableContents"/>
              <w:bidi w:val="0"/>
              <w:spacing w:before="0" w:after="283"/>
              <w:jc w:val="right"/>
              <w:rPr/>
            </w:pPr>
            <w:r>
              <w:rPr/>
              <w:t>19.80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20.94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16.61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1849" w:type="dxa"/>
            <w:tcBorders/>
            <w:shd w:fill="CCEEFF" w:val="clear"/>
            <w:vAlign w:val="center"/>
          </w:tcPr>
          <w:p>
            <w:pPr>
              <w:pStyle w:val="TableContents"/>
              <w:bidi w:val="0"/>
              <w:spacing w:before="0" w:after="283"/>
              <w:jc w:val="right"/>
              <w:rPr/>
            </w:pPr>
            <w:r>
              <w:rPr/>
              <w:t>5.8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pPr>
            <w:r>
              <w:rPr/>
              <w:t>(16.1</w:t>
            </w:r>
          </w:p>
        </w:tc>
        <w:tc>
          <w:tcPr>
            <w:tcW w:w="302" w:type="dxa"/>
            <w:tcBorders/>
            <w:shd w:fill="CCEEFF" w:val="clear"/>
            <w:vAlign w:val="center"/>
          </w:tcPr>
          <w:p>
            <w:pPr>
              <w:pStyle w:val="TableContents"/>
              <w:bidi w:val="0"/>
              <w:spacing w:before="0" w:after="283"/>
              <w:jc w:val="left"/>
              <w:rPr/>
            </w:pPr>
            <w:r>
              <w:rPr/>
              <w:t>) </w:t>
            </w:r>
          </w:p>
        </w:tc>
      </w:tr>
      <w:tr>
        <w:trPr/>
        <w:tc>
          <w:tcPr>
            <w:tcW w:w="11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Third Quarter</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right"/>
              <w:rPr/>
            </w:pPr>
            <w:r>
              <w:rPr/>
              <w:t>19.41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 </w:t>
            </w:r>
          </w:p>
        </w:tc>
        <w:tc>
          <w:tcPr>
            <w:tcW w:w="1072" w:type="dxa"/>
            <w:tcBorders/>
            <w:vAlign w:val="center"/>
          </w:tcPr>
          <w:p>
            <w:pPr>
              <w:pStyle w:val="TableContents"/>
              <w:bidi w:val="0"/>
              <w:spacing w:before="0" w:after="283"/>
              <w:jc w:val="right"/>
              <w:rPr/>
            </w:pPr>
            <w:r>
              <w:rPr/>
              <w:t>20.62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right"/>
              <w:rPr/>
            </w:pPr>
            <w:r>
              <w:rPr/>
              <w:t>16.92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1849" w:type="dxa"/>
            <w:tcBorders/>
            <w:vAlign w:val="center"/>
          </w:tcPr>
          <w:p>
            <w:pPr>
              <w:pStyle w:val="TableContents"/>
              <w:bidi w:val="0"/>
              <w:spacing w:before="0" w:after="283"/>
              <w:jc w:val="right"/>
              <w:rPr/>
            </w:pPr>
            <w:r>
              <w:rPr/>
              <w:t>6.2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right"/>
              <w:rPr/>
            </w:pPr>
            <w:r>
              <w:rPr/>
              <w:t>(12.8</w:t>
            </w:r>
          </w:p>
        </w:tc>
        <w:tc>
          <w:tcPr>
            <w:tcW w:w="302" w:type="dxa"/>
            <w:tcBorders/>
            <w:vAlign w:val="center"/>
          </w:tcPr>
          <w:p>
            <w:pPr>
              <w:pStyle w:val="TableContents"/>
              <w:bidi w:val="0"/>
              <w:spacing w:before="0" w:after="283"/>
              <w:jc w:val="left"/>
              <w:rPr/>
            </w:pPr>
            <w:r>
              <w:rPr/>
              <w:t>) </w:t>
            </w:r>
          </w:p>
        </w:tc>
      </w:tr>
      <w:tr>
        <w:trPr/>
        <w:tc>
          <w:tcPr>
            <w:tcW w:w="113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Fourth Quarter</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573" w:type="dxa"/>
            <w:tcBorders/>
            <w:shd w:fill="CCEEFF" w:val="clear"/>
            <w:vAlign w:val="center"/>
          </w:tcPr>
          <w:p>
            <w:pPr>
              <w:pStyle w:val="TableContents"/>
              <w:bidi w:val="0"/>
              <w:spacing w:before="0" w:after="283"/>
              <w:jc w:val="right"/>
              <w:rPr/>
            </w:pPr>
            <w:r>
              <w:rPr/>
              <w:t>19.43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20.69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16.88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1849" w:type="dxa"/>
            <w:tcBorders/>
            <w:shd w:fill="CCEEFF" w:val="clear"/>
            <w:vAlign w:val="center"/>
          </w:tcPr>
          <w:p>
            <w:pPr>
              <w:pStyle w:val="TableContents"/>
              <w:bidi w:val="0"/>
              <w:spacing w:before="0" w:after="283"/>
              <w:jc w:val="right"/>
              <w:rPr/>
            </w:pPr>
            <w:r>
              <w:rPr/>
              <w:t>6.5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pPr>
            <w:r>
              <w:rPr/>
              <w:t>(13.1</w:t>
            </w:r>
          </w:p>
        </w:tc>
        <w:tc>
          <w:tcPr>
            <w:tcW w:w="302"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(1)</w:t>
            </w:r>
          </w:p>
        </w:tc>
        <w:tc>
          <w:tcPr>
            <w:tcW w:w="994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Net asset value per share is determined as of the last day in the relevant quarter and therefore may not reflect the net asset value per share on the date of the high and low sales prices. The net asset values shown are based on outstanding shares at the end of each period. </w:t>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pPr>
            <w:r>
              <w:rPr/>
              <w:t>(2)</w:t>
            </w:r>
          </w:p>
        </w:tc>
        <w:tc>
          <w:tcPr>
            <w:tcW w:w="9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Calculated as the difference between the respective high or low closing sales price and the quarter end net asset value divided by the quarter end net asset value. </w:t>
            </w:r>
          </w:p>
        </w:tc>
      </w:tr>
    </w:tbl>
    <w:tbl>
      <w:tblPr>
        <w:tblW w:w="3010" w:type="dxa"/>
        <w:jc w:val="left"/>
        <w:tblInd w:w="0" w:type="dxa"/>
        <w:tblLayout w:type="fixed"/>
        <w:tblCellMar>
          <w:top w:w="0" w:type="dxa"/>
          <w:left w:w="0" w:type="dxa"/>
          <w:bottom w:w="0" w:type="dxa"/>
          <w:right w:w="0" w:type="dxa"/>
        </w:tblCellMar>
      </w:tblPr>
      <w:tblGrid>
        <w:gridCol w:w="155"/>
        <w:gridCol w:w="2855"/>
      </w:tblGrid>
      <w:tr>
        <w:trPr/>
        <w:tc>
          <w:tcPr>
            <w:tcW w:w="155" w:type="dxa"/>
            <w:tcBorders/>
            <w:vAlign w:val="center"/>
          </w:tcPr>
          <w:p>
            <w:pPr>
              <w:pStyle w:val="TableContents"/>
              <w:bidi w:val="0"/>
              <w:spacing w:before="0" w:after="283"/>
              <w:jc w:val="left"/>
              <w:rPr/>
            </w:pPr>
            <w:r>
              <w:rPr/>
              <w:t>*</w:t>
            </w:r>
          </w:p>
        </w:tc>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NAV has not yet been determined.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Shares of BDCs may trade at a market price that is less than the net asset value of those shares. The possibilities that our shares of common stock will trade at a discount from net asset value or at premiums that are unsustainable over the long term are separate and distinct from the risk that our net asset value will decrease. It is not possible to predict whether any common stock offered pursuant to this prospectus supplement will trade at, above, or below net asset value. As of May 3, 2024, our shares of common stock traded at a premium equal to approximately 3.2% of the net assets attributable to those shares based upon our $19.36 net asset value per share as of March 31, 2024. It is not possible to predict whether the shares offered hereby will trade at, above, or below net asset value.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0" w:name="toc29698_8"/>
      <w:bookmarkEnd w:id="10"/>
      <w:r>
        <w:rPr>
          <w:rFonts w:ascii="Times New Roman" w:hAnsi="Times New Roman"/>
          <w:b/>
          <w:sz w:val="20"/>
        </w:rPr>
        <w:t xml:space="preserve">FINANCIAL HIGHLIGHTS </w:t>
      </w:r>
    </w:p>
    <w:p>
      <w:pPr>
        <w:pStyle w:val="TextBody"/>
        <w:bidi w:val="0"/>
        <w:spacing w:before="240" w:after="0"/>
        <w:jc w:val="left"/>
        <w:rPr/>
      </w:pPr>
      <w:r>
        <w:rPr>
          <w:rFonts w:ascii="Times New Roman" w:hAnsi="Times New Roman"/>
          <w:sz w:val="20"/>
        </w:rPr>
        <w:t xml:space="preserve">The financial highlights is intended to help a prospective investor understand the Company’s financial performance for the periods presented. Information about our financial highlights for the years ended December 31, 2023 to 2014 is located in the notes to our consolidated financial statements under the caption “Note 10. Financial Highlights” in our most recent </w:t>
      </w:r>
      <w:hyperlink r:id="rId17">
        <w:r>
          <w:rPr>
            <w:rStyle w:val="InternetLink"/>
            <w:rFonts w:ascii="Times New Roman" w:hAnsi="Times New Roman"/>
            <w:sz w:val="20"/>
          </w:rPr>
          <w:t>Annual Report on Form 10-K</w:t>
        </w:r>
      </w:hyperlink>
      <w:r>
        <w:rPr>
          <w:rFonts w:ascii="Times New Roman" w:hAnsi="Times New Roman"/>
          <w:sz w:val="20"/>
        </w:rPr>
        <w:t xml:space="preserve">, which been audited by our independent registered public accounting firm whose reports thereon are incorporated by reference in this prospectus, and is incorporated herein by reference. The information for our financial highlights for the three months ended March 31, 2024 and 2023 is located in the notes to our consolidated financial statements under the caption “Note 10. Financial Highlights” in our most recent </w:t>
      </w:r>
      <w:hyperlink r:id="rId18">
        <w:r>
          <w:rPr>
            <w:rStyle w:val="InternetLink"/>
            <w:rFonts w:ascii="Times New Roman" w:hAnsi="Times New Roman"/>
            <w:sz w:val="20"/>
          </w:rPr>
          <w:t>Quarterly Report on Form 10-Q</w:t>
        </w:r>
      </w:hyperlink>
      <w:r>
        <w:rPr>
          <w:rFonts w:ascii="Times New Roman" w:hAnsi="Times New Roman"/>
          <w:sz w:val="20"/>
        </w:rPr>
        <w:t xml:space="preserve">, and is incorporated herein by reference. Interim results at and for the three months ended March 31, 2024 are not necessarily indicative of the results that may be expected for the year ending December 31,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1" w:name="toc29698_10"/>
      <w:bookmarkEnd w:id="11"/>
      <w:r>
        <w:rPr>
          <w:rFonts w:ascii="Times New Roman" w:hAnsi="Times New Roman"/>
          <w:b/>
          <w:sz w:val="20"/>
        </w:rPr>
        <w:t xml:space="preserve">MANAGEMENT’S DISCUSSION AND ANALYSIS OF </w:t>
      </w:r>
    </w:p>
    <w:p>
      <w:pPr>
        <w:pStyle w:val="TextBody"/>
        <w:bidi w:val="0"/>
        <w:spacing w:before="0" w:after="0"/>
        <w:jc w:val="center"/>
        <w:rPr>
          <w:rFonts w:ascii="Times New Roman" w:hAnsi="Times New Roman"/>
          <w:b/>
          <w:sz w:val="20"/>
        </w:rPr>
      </w:pPr>
      <w:r>
        <w:rPr>
          <w:rFonts w:ascii="Times New Roman" w:hAnsi="Times New Roman"/>
          <w:b/>
          <w:sz w:val="20"/>
        </w:rPr>
        <w:t xml:space="preserve">FINANCIAL CONDITION AND RESULTS OF OPERATIONS </w:t>
      </w:r>
    </w:p>
    <w:p>
      <w:pPr>
        <w:pStyle w:val="TextBody"/>
        <w:bidi w:val="0"/>
        <w:spacing w:before="240" w:after="0"/>
        <w:jc w:val="left"/>
        <w:rPr/>
      </w:pPr>
      <w:r>
        <w:rPr>
          <w:rFonts w:ascii="Times New Roman" w:hAnsi="Times New Roman"/>
          <w:sz w:val="20"/>
        </w:rPr>
        <w:t xml:space="preserve">The information included under the caption “Management’s Discussion and Analysis of Financial Condition and Results of Operations” in Part II, Item 7 of our most recent </w:t>
      </w:r>
      <w:hyperlink r:id="rId19">
        <w:r>
          <w:rPr>
            <w:rStyle w:val="InternetLink"/>
            <w:rFonts w:ascii="Times New Roman" w:hAnsi="Times New Roman"/>
            <w:sz w:val="20"/>
          </w:rPr>
          <w:t>Annual Report on Form 10-K</w:t>
        </w:r>
      </w:hyperlink>
      <w:r>
        <w:rPr>
          <w:rFonts w:ascii="Times New Roman" w:hAnsi="Times New Roman"/>
          <w:sz w:val="20"/>
        </w:rPr>
        <w:t xml:space="preserve"> and Part I, Item 2 of our most recent </w:t>
      </w:r>
      <w:hyperlink r:id="rId20">
        <w:r>
          <w:rPr>
            <w:rStyle w:val="InternetLink"/>
            <w:rFonts w:ascii="Times New Roman" w:hAnsi="Times New Roman"/>
            <w:sz w:val="20"/>
          </w:rPr>
          <w:t>Quarterly Report on Form 10-Q</w:t>
        </w:r>
      </w:hyperlink>
      <w:r>
        <w:rPr>
          <w:rFonts w:ascii="Times New Roman" w:hAnsi="Times New Roman"/>
          <w:sz w:val="20"/>
        </w:rPr>
        <w:t xml:space="preserve"> is incorporated herein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2" w:name="toc29698_11"/>
      <w:bookmarkEnd w:id="12"/>
      <w:r>
        <w:rPr>
          <w:rFonts w:ascii="Times New Roman" w:hAnsi="Times New Roman"/>
          <w:b/>
          <w:sz w:val="20"/>
        </w:rPr>
        <w:t xml:space="preserve">SENIOR SECURITIES </w:t>
      </w:r>
    </w:p>
    <w:p>
      <w:pPr>
        <w:pStyle w:val="TextBody"/>
        <w:bidi w:val="0"/>
        <w:spacing w:before="240" w:after="0"/>
        <w:jc w:val="left"/>
        <w:rPr/>
      </w:pPr>
      <w:r>
        <w:rPr>
          <w:rFonts w:ascii="Times New Roman" w:hAnsi="Times New Roman"/>
          <w:sz w:val="20"/>
        </w:rPr>
        <w:t xml:space="preserve">Information about our senior securities as of the fiscal years ended December 31, 2023 to 2014 is located in the notes to our consolidated financial statements under the caption “Note 6. Debt” in our most recent </w:t>
      </w:r>
      <w:hyperlink r:id="rId21">
        <w:r>
          <w:rPr>
            <w:rStyle w:val="InternetLink"/>
            <w:rFonts w:ascii="Times New Roman" w:hAnsi="Times New Roman"/>
            <w:sz w:val="20"/>
          </w:rPr>
          <w:t>Annual Report on Form 10-K</w:t>
        </w:r>
      </w:hyperlink>
      <w:r>
        <w:rPr>
          <w:rFonts w:ascii="Times New Roman" w:hAnsi="Times New Roman"/>
          <w:sz w:val="20"/>
        </w:rPr>
        <w:t xml:space="preserve">, and is incorporated herein by reference. The report of our independent registered public accounting firm on the senior securities table is included in our most recent Annual Report on Form 10-K, filed on February 29, 2024, and is incorporated by reference into the registration statement of which this prospectus is a part. </w:t>
      </w:r>
    </w:p>
    <w:p>
      <w:pPr>
        <w:pStyle w:val="TextBody"/>
        <w:bidi w:val="0"/>
        <w:spacing w:before="240" w:after="0"/>
        <w:jc w:val="left"/>
        <w:rPr>
          <w:rFonts w:ascii="Times New Roman" w:hAnsi="Times New Roman"/>
          <w:sz w:val="20"/>
        </w:rPr>
      </w:pPr>
      <w:r>
        <w:rPr>
          <w:rFonts w:ascii="Times New Roman" w:hAnsi="Times New Roman"/>
          <w:sz w:val="20"/>
        </w:rPr>
        <w:t xml:space="preserve">Information about our senior securities is shown in the following table as of March 31, 2024 (unaudited).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45"/>
        <w:gridCol w:w="120"/>
        <w:gridCol w:w="380"/>
        <w:gridCol w:w="2175"/>
        <w:gridCol w:w="60"/>
        <w:gridCol w:w="120"/>
        <w:gridCol w:w="280"/>
        <w:gridCol w:w="1120"/>
        <w:gridCol w:w="200"/>
        <w:gridCol w:w="60"/>
        <w:gridCol w:w="643"/>
        <w:gridCol w:w="1501"/>
        <w:gridCol w:w="60"/>
        <w:gridCol w:w="120"/>
        <w:gridCol w:w="270"/>
        <w:gridCol w:w="1175"/>
        <w:gridCol w:w="76"/>
      </w:tblGrid>
      <w:tr>
        <w:trPr/>
        <w:tc>
          <w:tcPr>
            <w:tcW w:w="18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1845" w:type="dxa"/>
            <w:tcBorders/>
            <w:vAlign w:val="center"/>
          </w:tcPr>
          <w:p>
            <w:pPr>
              <w:pStyle w:val="TableContents"/>
              <w:bidi w:val="0"/>
              <w:spacing w:before="0" w:after="283"/>
              <w:jc w:val="left"/>
              <w:rPr>
                <w:b/>
              </w:rPr>
            </w:pPr>
            <w:r>
              <w:rPr>
                <w:b/>
              </w:rPr>
              <w:t>Class and Year</w:t>
            </w:r>
          </w:p>
        </w:tc>
        <w:tc>
          <w:tcPr>
            <w:tcW w:w="120" w:type="dxa"/>
            <w:tcBorders/>
            <w:vAlign w:val="center"/>
          </w:tcPr>
          <w:p>
            <w:pPr>
              <w:pStyle w:val="TableContents"/>
              <w:bidi w:val="0"/>
              <w:spacing w:before="0" w:after="283"/>
              <w:jc w:val="left"/>
              <w:rPr/>
            </w:pPr>
            <w:r>
              <w:rPr/>
              <w:t>  </w:t>
            </w:r>
          </w:p>
        </w:tc>
        <w:tc>
          <w:tcPr>
            <w:tcW w:w="2555" w:type="dxa"/>
            <w:gridSpan w:val="2"/>
            <w:tcBorders/>
            <w:vAlign w:val="center"/>
          </w:tcPr>
          <w:p>
            <w:pPr>
              <w:pStyle w:val="TableContents"/>
              <w:bidi w:val="0"/>
              <w:spacing w:before="0" w:after="283"/>
              <w:jc w:val="center"/>
              <w:rPr>
                <w:b/>
              </w:rPr>
            </w:pPr>
            <w:r>
              <w:rPr>
                <w:b/>
              </w:rPr>
              <w:t>Total Amount</w:t>
              <w:br/>
              <w:t>Outstanding Exclusive of</w:t>
              <w:br/>
              <w:t>Treasury Securities(1)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b/>
              </w:rPr>
            </w:pPr>
            <w:r>
              <w:rPr>
                <w:b/>
              </w:rPr>
              <w:t>Asset</w:t>
              <w:br/>
              <w:t>Coverage per</w:t>
              <w:br/>
              <w:t>Unit</w:t>
            </w:r>
            <w:r>
              <w:rPr>
                <w:b/>
                <w:sz w:val="10"/>
              </w:rPr>
              <w:t>(2)(5)</w:t>
            </w:r>
          </w:p>
        </w:tc>
        <w:tc>
          <w:tcPr>
            <w:tcW w:w="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4" w:type="dxa"/>
            <w:gridSpan w:val="2"/>
            <w:tcBorders/>
            <w:vAlign w:val="center"/>
          </w:tcPr>
          <w:p>
            <w:pPr>
              <w:pStyle w:val="TableContents"/>
              <w:bidi w:val="0"/>
              <w:spacing w:before="0" w:after="283"/>
              <w:jc w:val="center"/>
              <w:rPr>
                <w:b/>
              </w:rPr>
            </w:pPr>
            <w:r>
              <w:rPr>
                <w:b/>
              </w:rPr>
              <w:t>Involuntary</w:t>
              <w:br/>
              <w:t>Liquidation</w:t>
              <w:br/>
              <w:t>Preference per Unit</w:t>
            </w:r>
            <w:r>
              <w:rPr>
                <w:b/>
                <w:sz w:val="10"/>
              </w:rPr>
              <w:t>(3)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b/>
              </w:rPr>
            </w:pPr>
            <w:r>
              <w:rPr>
                <w:b/>
              </w:rPr>
              <w:t>Average</w:t>
              <w:br/>
              <w:t>Market Value</w:t>
              <w:br/>
              <w:t>per Unit</w:t>
            </w:r>
            <w:r>
              <w:rPr>
                <w:b/>
                <w:sz w:val="10"/>
              </w:rPr>
              <w:t>(4)</w:t>
            </w:r>
          </w:p>
        </w:tc>
        <w:tc>
          <w:tcPr>
            <w:tcW w:w="76" w:type="dxa"/>
            <w:tcBorders/>
            <w:vAlign w:val="center"/>
          </w:tcPr>
          <w:p>
            <w:pPr>
              <w:pStyle w:val="TableContents"/>
              <w:bidi w:val="0"/>
              <w:spacing w:before="0" w:after="283"/>
              <w:jc w:val="left"/>
              <w:rPr/>
            </w:pPr>
            <w:r>
              <w:rPr/>
              <w:t> </w:t>
            </w:r>
          </w:p>
        </w:tc>
      </w:tr>
      <w:tr>
        <w:trPr/>
        <w:tc>
          <w:tcPr>
            <w:tcW w:w="18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55" w:type="dxa"/>
            <w:gridSpan w:val="2"/>
            <w:tcBorders/>
            <w:vAlign w:val="center"/>
          </w:tcPr>
          <w:p>
            <w:pPr>
              <w:pStyle w:val="TableContents"/>
              <w:bidi w:val="0"/>
              <w:spacing w:before="0" w:after="283"/>
              <w:jc w:val="center"/>
              <w:rPr>
                <w:i/>
              </w:rPr>
            </w:pPr>
            <w:r>
              <w:rPr>
                <w:i/>
              </w:rPr>
              <w:t>(dollars in thousands)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184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SBA debentures</w:t>
            </w:r>
          </w:p>
        </w:tc>
        <w:tc>
          <w:tcPr>
            <w:tcW w:w="12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sz w:val="4"/>
                <w:szCs w:val="4"/>
              </w:rPr>
            </w:pPr>
            <w:r>
              <w:rPr>
                <w:sz w:val="4"/>
                <w:szCs w:val="4"/>
              </w:rPr>
            </w:r>
          </w:p>
        </w:tc>
        <w:tc>
          <w:tcPr>
            <w:tcW w:w="21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sz w:val="4"/>
                <w:szCs w:val="4"/>
              </w:rPr>
            </w:pPr>
            <w:r>
              <w:rPr>
                <w:sz w:val="4"/>
                <w:szCs w:val="4"/>
              </w:rPr>
            </w:r>
          </w:p>
        </w:tc>
        <w:tc>
          <w:tcPr>
            <w:tcW w:w="1120" w:type="dxa"/>
            <w:tcBorders/>
            <w:shd w:fill="CCEEFF" w:val="clear"/>
            <w:vAlign w:val="center"/>
          </w:tcPr>
          <w:p>
            <w:pPr>
              <w:pStyle w:val="TableContents"/>
              <w:bidi w:val="0"/>
              <w:spacing w:before="0" w:after="283"/>
              <w:jc w:val="left"/>
              <w:rPr>
                <w:sz w:val="4"/>
                <w:szCs w:val="4"/>
              </w:rPr>
            </w:pPr>
            <w:r>
              <w:rPr>
                <w:sz w:val="4"/>
                <w:szCs w:val="4"/>
              </w:rPr>
            </w:r>
          </w:p>
        </w:tc>
        <w:tc>
          <w:tcPr>
            <w:tcW w:w="2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left"/>
              <w:rPr>
                <w:sz w:val="4"/>
                <w:szCs w:val="4"/>
              </w:rPr>
            </w:pPr>
            <w:r>
              <w:rPr>
                <w:sz w:val="4"/>
                <w:szCs w:val="4"/>
              </w:rPr>
            </w:r>
          </w:p>
        </w:tc>
        <w:tc>
          <w:tcPr>
            <w:tcW w:w="150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76" w:type="dxa"/>
            <w:tcBorders/>
            <w:shd w:fill="CCEEFF" w:val="clear"/>
            <w:vAlign w:val="center"/>
          </w:tcPr>
          <w:p>
            <w:pPr>
              <w:pStyle w:val="TableContents"/>
              <w:bidi w:val="0"/>
              <w:spacing w:before="0" w:after="283"/>
              <w:jc w:val="left"/>
              <w:rPr>
                <w:sz w:val="4"/>
                <w:szCs w:val="4"/>
              </w:rPr>
            </w:pPr>
            <w:r>
              <w:rPr>
                <w:sz w:val="4"/>
                <w:szCs w:val="4"/>
              </w:rPr>
            </w:r>
          </w:p>
        </w:tc>
      </w:tr>
      <w:tr>
        <w:trPr/>
        <w:tc>
          <w:tcPr>
            <w:tcW w:w="1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As of March 31, 2024</w:t>
            </w:r>
          </w:p>
        </w:tc>
        <w:tc>
          <w:tcPr>
            <w:tcW w:w="12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w:t>
            </w:r>
          </w:p>
        </w:tc>
        <w:tc>
          <w:tcPr>
            <w:tcW w:w="2175" w:type="dxa"/>
            <w:tcBorders/>
            <w:vAlign w:val="center"/>
          </w:tcPr>
          <w:p>
            <w:pPr>
              <w:pStyle w:val="TableContents"/>
              <w:bidi w:val="0"/>
              <w:spacing w:before="0" w:after="283"/>
              <w:jc w:val="right"/>
              <w:rPr/>
            </w:pPr>
            <w:r>
              <w:rPr/>
              <w:t>175,000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 </w:t>
            </w:r>
          </w:p>
        </w:tc>
        <w:tc>
          <w:tcPr>
            <w:tcW w:w="1120" w:type="dxa"/>
            <w:tcBorders/>
            <w:vAlign w:val="center"/>
          </w:tcPr>
          <w:p>
            <w:pPr>
              <w:pStyle w:val="TableContents"/>
              <w:bidi w:val="0"/>
              <w:spacing w:before="0" w:after="283"/>
              <w:jc w:val="right"/>
              <w:rPr/>
            </w:pPr>
            <w:r>
              <w:rPr/>
              <w:t>*</w:t>
            </w:r>
          </w:p>
        </w:tc>
        <w:tc>
          <w:tcPr>
            <w:tcW w:w="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3" w:type="dxa"/>
            <w:tcBorders/>
            <w:vAlign w:val="center"/>
          </w:tcPr>
          <w:p>
            <w:pPr>
              <w:pStyle w:val="TableContents"/>
              <w:bidi w:val="0"/>
              <w:spacing w:before="0" w:after="283"/>
              <w:jc w:val="left"/>
              <w:rPr/>
            </w:pPr>
            <w:r>
              <w:rPr/>
              <w:t> </w:t>
            </w:r>
          </w:p>
        </w:tc>
        <w:tc>
          <w:tcPr>
            <w:tcW w:w="150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N/A</w:t>
            </w:r>
          </w:p>
        </w:tc>
        <w:tc>
          <w:tcPr>
            <w:tcW w:w="76" w:type="dxa"/>
            <w:tcBorders/>
            <w:vAlign w:val="center"/>
          </w:tcPr>
          <w:p>
            <w:pPr>
              <w:pStyle w:val="TableContents"/>
              <w:bidi w:val="0"/>
              <w:spacing w:before="0" w:after="283"/>
              <w:jc w:val="left"/>
              <w:rPr/>
            </w:pPr>
            <w:r>
              <w:rPr/>
              <w:t> </w:t>
            </w:r>
          </w:p>
        </w:tc>
      </w:tr>
      <w:tr>
        <w:trPr/>
        <w:tc>
          <w:tcPr>
            <w:tcW w:w="1845" w:type="dxa"/>
            <w:tcBorders/>
            <w:vAlign w:val="center"/>
          </w:tcPr>
          <w:p>
            <w:pPr>
              <w:pStyle w:val="TableContents"/>
              <w:bidi w:val="0"/>
              <w:spacing w:before="0" w:after="283"/>
              <w:jc w:val="left"/>
              <w:rPr>
                <w:sz w:val="4"/>
                <w:szCs w:val="4"/>
              </w:rPr>
            </w:pPr>
            <w:r>
              <w:rPr>
                <w:sz w:val="4"/>
                <w:szCs w:val="4"/>
              </w:rPr>
            </w:r>
          </w:p>
        </w:tc>
        <w:tc>
          <w:tcPr>
            <w:tcW w:w="2735" w:type="dxa"/>
            <w:gridSpan w:val="4"/>
            <w:tcBorders/>
            <w:vAlign w:val="center"/>
          </w:tcPr>
          <w:p>
            <w:pPr>
              <w:pStyle w:val="TableContents"/>
              <w:bidi w:val="0"/>
              <w:spacing w:before="0" w:after="283"/>
              <w:jc w:val="left"/>
              <w:rPr>
                <w:sz w:val="4"/>
                <w:szCs w:val="4"/>
              </w:rPr>
            </w:pPr>
            <w:r>
              <w:rPr>
                <w:sz w:val="4"/>
                <w:szCs w:val="4"/>
              </w:rPr>
            </w:r>
          </w:p>
        </w:tc>
        <w:tc>
          <w:tcPr>
            <w:tcW w:w="1720" w:type="dxa"/>
            <w:gridSpan w:val="4"/>
            <w:tcBorders/>
            <w:vAlign w:val="center"/>
          </w:tcPr>
          <w:p>
            <w:pPr>
              <w:pStyle w:val="TableContents"/>
              <w:bidi w:val="0"/>
              <w:spacing w:before="0" w:after="283"/>
              <w:jc w:val="left"/>
              <w:rPr>
                <w:sz w:val="4"/>
                <w:szCs w:val="4"/>
              </w:rPr>
            </w:pPr>
            <w:r>
              <w:rPr>
                <w:sz w:val="4"/>
                <w:szCs w:val="4"/>
              </w:rPr>
            </w:r>
          </w:p>
        </w:tc>
        <w:tc>
          <w:tcPr>
            <w:tcW w:w="2264" w:type="dxa"/>
            <w:gridSpan w:val="4"/>
            <w:tcBorders/>
            <w:vAlign w:val="center"/>
          </w:tcPr>
          <w:p>
            <w:pPr>
              <w:pStyle w:val="TableContents"/>
              <w:bidi w:val="0"/>
              <w:spacing w:before="0" w:after="283"/>
              <w:jc w:val="left"/>
              <w:rPr>
                <w:sz w:val="4"/>
                <w:szCs w:val="4"/>
              </w:rPr>
            </w:pPr>
            <w:r>
              <w:rPr>
                <w:sz w:val="4"/>
                <w:szCs w:val="4"/>
              </w:rPr>
            </w:r>
          </w:p>
        </w:tc>
        <w:tc>
          <w:tcPr>
            <w:tcW w:w="1641" w:type="dxa"/>
            <w:gridSpan w:val="4"/>
            <w:tcBorders/>
            <w:vAlign w:val="center"/>
          </w:tcPr>
          <w:p>
            <w:pPr>
              <w:pStyle w:val="TableContents"/>
              <w:bidi w:val="0"/>
              <w:spacing w:before="0" w:after="283"/>
              <w:jc w:val="left"/>
              <w:rPr>
                <w:sz w:val="4"/>
                <w:szCs w:val="4"/>
              </w:rPr>
            </w:pPr>
            <w:r>
              <w:rPr>
                <w:sz w:val="4"/>
                <w:szCs w:val="4"/>
              </w:rPr>
            </w:r>
          </w:p>
        </w:tc>
      </w:tr>
      <w:tr>
        <w:trPr/>
        <w:tc>
          <w:tcPr>
            <w:tcW w:w="184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Credit Facility</w:t>
            </w:r>
          </w:p>
        </w:tc>
        <w:tc>
          <w:tcPr>
            <w:tcW w:w="12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sz w:val="4"/>
                <w:szCs w:val="4"/>
              </w:rPr>
            </w:pPr>
            <w:r>
              <w:rPr>
                <w:sz w:val="4"/>
                <w:szCs w:val="4"/>
              </w:rPr>
            </w:r>
          </w:p>
        </w:tc>
        <w:tc>
          <w:tcPr>
            <w:tcW w:w="21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sz w:val="4"/>
                <w:szCs w:val="4"/>
              </w:rPr>
            </w:pPr>
            <w:r>
              <w:rPr>
                <w:sz w:val="4"/>
                <w:szCs w:val="4"/>
              </w:rPr>
            </w:r>
          </w:p>
        </w:tc>
        <w:tc>
          <w:tcPr>
            <w:tcW w:w="1120" w:type="dxa"/>
            <w:tcBorders/>
            <w:shd w:fill="CCEEFF" w:val="clear"/>
            <w:vAlign w:val="center"/>
          </w:tcPr>
          <w:p>
            <w:pPr>
              <w:pStyle w:val="TableContents"/>
              <w:bidi w:val="0"/>
              <w:spacing w:before="0" w:after="283"/>
              <w:jc w:val="left"/>
              <w:rPr>
                <w:sz w:val="4"/>
                <w:szCs w:val="4"/>
              </w:rPr>
            </w:pPr>
            <w:r>
              <w:rPr>
                <w:sz w:val="4"/>
                <w:szCs w:val="4"/>
              </w:rPr>
            </w:r>
          </w:p>
        </w:tc>
        <w:tc>
          <w:tcPr>
            <w:tcW w:w="2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left"/>
              <w:rPr>
                <w:sz w:val="4"/>
                <w:szCs w:val="4"/>
              </w:rPr>
            </w:pPr>
            <w:r>
              <w:rPr>
                <w:sz w:val="4"/>
                <w:szCs w:val="4"/>
              </w:rPr>
            </w:r>
          </w:p>
        </w:tc>
        <w:tc>
          <w:tcPr>
            <w:tcW w:w="150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76" w:type="dxa"/>
            <w:tcBorders/>
            <w:shd w:fill="CCEEFF" w:val="clear"/>
            <w:vAlign w:val="center"/>
          </w:tcPr>
          <w:p>
            <w:pPr>
              <w:pStyle w:val="TableContents"/>
              <w:bidi w:val="0"/>
              <w:spacing w:before="0" w:after="283"/>
              <w:jc w:val="left"/>
              <w:rPr>
                <w:sz w:val="4"/>
                <w:szCs w:val="4"/>
              </w:rPr>
            </w:pPr>
            <w:r>
              <w:rPr>
                <w:sz w:val="4"/>
                <w:szCs w:val="4"/>
              </w:rPr>
            </w:r>
          </w:p>
        </w:tc>
      </w:tr>
      <w:tr>
        <w:trPr/>
        <w:tc>
          <w:tcPr>
            <w:tcW w:w="1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As of March 31, 2024</w:t>
            </w:r>
          </w:p>
        </w:tc>
        <w:tc>
          <w:tcPr>
            <w:tcW w:w="12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w:t>
            </w:r>
          </w:p>
        </w:tc>
        <w:tc>
          <w:tcPr>
            <w:tcW w:w="2175" w:type="dxa"/>
            <w:tcBorders/>
            <w:vAlign w:val="center"/>
          </w:tcPr>
          <w:p>
            <w:pPr>
              <w:pStyle w:val="TableContents"/>
              <w:bidi w:val="0"/>
              <w:spacing w:before="0" w:after="283"/>
              <w:jc w:val="right"/>
              <w:rPr/>
            </w:pPr>
            <w:r>
              <w:rPr/>
              <w:t>22,500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w:t>
            </w:r>
          </w:p>
        </w:tc>
        <w:tc>
          <w:tcPr>
            <w:tcW w:w="1120" w:type="dxa"/>
            <w:tcBorders/>
            <w:vAlign w:val="center"/>
          </w:tcPr>
          <w:p>
            <w:pPr>
              <w:pStyle w:val="TableContents"/>
              <w:bidi w:val="0"/>
              <w:spacing w:before="0" w:after="283"/>
              <w:jc w:val="right"/>
              <w:rPr/>
            </w:pPr>
            <w:r>
              <w:rPr/>
              <w:t>3,111</w:t>
            </w:r>
          </w:p>
        </w:tc>
        <w:tc>
          <w:tcPr>
            <w:tcW w:w="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3" w:type="dxa"/>
            <w:tcBorders/>
            <w:vAlign w:val="center"/>
          </w:tcPr>
          <w:p>
            <w:pPr>
              <w:pStyle w:val="TableContents"/>
              <w:bidi w:val="0"/>
              <w:spacing w:before="0" w:after="283"/>
              <w:jc w:val="left"/>
              <w:rPr/>
            </w:pPr>
            <w:r>
              <w:rPr/>
              <w:t> </w:t>
            </w:r>
          </w:p>
        </w:tc>
        <w:tc>
          <w:tcPr>
            <w:tcW w:w="150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N/A</w:t>
            </w:r>
          </w:p>
        </w:tc>
        <w:tc>
          <w:tcPr>
            <w:tcW w:w="76" w:type="dxa"/>
            <w:tcBorders/>
            <w:vAlign w:val="center"/>
          </w:tcPr>
          <w:p>
            <w:pPr>
              <w:pStyle w:val="TableContents"/>
              <w:bidi w:val="0"/>
              <w:spacing w:before="0" w:after="283"/>
              <w:jc w:val="left"/>
              <w:rPr/>
            </w:pPr>
            <w:r>
              <w:rPr/>
              <w:t> </w:t>
            </w:r>
          </w:p>
        </w:tc>
      </w:tr>
      <w:tr>
        <w:trPr/>
        <w:tc>
          <w:tcPr>
            <w:tcW w:w="1845" w:type="dxa"/>
            <w:tcBorders/>
            <w:vAlign w:val="center"/>
          </w:tcPr>
          <w:p>
            <w:pPr>
              <w:pStyle w:val="TableContents"/>
              <w:bidi w:val="0"/>
              <w:spacing w:before="0" w:after="283"/>
              <w:jc w:val="left"/>
              <w:rPr>
                <w:sz w:val="4"/>
                <w:szCs w:val="4"/>
              </w:rPr>
            </w:pPr>
            <w:r>
              <w:rPr>
                <w:sz w:val="4"/>
                <w:szCs w:val="4"/>
              </w:rPr>
            </w:r>
          </w:p>
        </w:tc>
        <w:tc>
          <w:tcPr>
            <w:tcW w:w="2735" w:type="dxa"/>
            <w:gridSpan w:val="4"/>
            <w:tcBorders/>
            <w:vAlign w:val="center"/>
          </w:tcPr>
          <w:p>
            <w:pPr>
              <w:pStyle w:val="TableContents"/>
              <w:bidi w:val="0"/>
              <w:spacing w:before="0" w:after="283"/>
              <w:jc w:val="left"/>
              <w:rPr>
                <w:sz w:val="4"/>
                <w:szCs w:val="4"/>
              </w:rPr>
            </w:pPr>
            <w:r>
              <w:rPr>
                <w:sz w:val="4"/>
                <w:szCs w:val="4"/>
              </w:rPr>
            </w:r>
          </w:p>
        </w:tc>
        <w:tc>
          <w:tcPr>
            <w:tcW w:w="1720" w:type="dxa"/>
            <w:gridSpan w:val="4"/>
            <w:tcBorders/>
            <w:vAlign w:val="center"/>
          </w:tcPr>
          <w:p>
            <w:pPr>
              <w:pStyle w:val="TableContents"/>
              <w:bidi w:val="0"/>
              <w:spacing w:before="0" w:after="283"/>
              <w:jc w:val="left"/>
              <w:rPr>
                <w:sz w:val="4"/>
                <w:szCs w:val="4"/>
              </w:rPr>
            </w:pPr>
            <w:r>
              <w:rPr>
                <w:sz w:val="4"/>
                <w:szCs w:val="4"/>
              </w:rPr>
            </w:r>
          </w:p>
        </w:tc>
        <w:tc>
          <w:tcPr>
            <w:tcW w:w="2264" w:type="dxa"/>
            <w:gridSpan w:val="4"/>
            <w:tcBorders/>
            <w:vAlign w:val="center"/>
          </w:tcPr>
          <w:p>
            <w:pPr>
              <w:pStyle w:val="TableContents"/>
              <w:bidi w:val="0"/>
              <w:spacing w:before="0" w:after="283"/>
              <w:jc w:val="left"/>
              <w:rPr>
                <w:sz w:val="4"/>
                <w:szCs w:val="4"/>
              </w:rPr>
            </w:pPr>
            <w:r>
              <w:rPr>
                <w:sz w:val="4"/>
                <w:szCs w:val="4"/>
              </w:rPr>
            </w:r>
          </w:p>
        </w:tc>
        <w:tc>
          <w:tcPr>
            <w:tcW w:w="1641" w:type="dxa"/>
            <w:gridSpan w:val="4"/>
            <w:tcBorders/>
            <w:vAlign w:val="center"/>
          </w:tcPr>
          <w:p>
            <w:pPr>
              <w:pStyle w:val="TableContents"/>
              <w:bidi w:val="0"/>
              <w:spacing w:before="0" w:after="283"/>
              <w:jc w:val="left"/>
              <w:rPr>
                <w:sz w:val="4"/>
                <w:szCs w:val="4"/>
              </w:rPr>
            </w:pPr>
            <w:r>
              <w:rPr>
                <w:sz w:val="4"/>
                <w:szCs w:val="4"/>
              </w:rPr>
            </w:r>
          </w:p>
        </w:tc>
      </w:tr>
      <w:tr>
        <w:trPr/>
        <w:tc>
          <w:tcPr>
            <w:tcW w:w="184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January 2026 Notes</w:t>
            </w:r>
          </w:p>
        </w:tc>
        <w:tc>
          <w:tcPr>
            <w:tcW w:w="12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sz w:val="4"/>
                <w:szCs w:val="4"/>
              </w:rPr>
            </w:pPr>
            <w:r>
              <w:rPr>
                <w:sz w:val="4"/>
                <w:szCs w:val="4"/>
              </w:rPr>
            </w:r>
          </w:p>
        </w:tc>
        <w:tc>
          <w:tcPr>
            <w:tcW w:w="21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sz w:val="4"/>
                <w:szCs w:val="4"/>
              </w:rPr>
            </w:pPr>
            <w:r>
              <w:rPr>
                <w:sz w:val="4"/>
                <w:szCs w:val="4"/>
              </w:rPr>
            </w:r>
          </w:p>
        </w:tc>
        <w:tc>
          <w:tcPr>
            <w:tcW w:w="1120" w:type="dxa"/>
            <w:tcBorders/>
            <w:shd w:fill="CCEEFF" w:val="clear"/>
            <w:vAlign w:val="center"/>
          </w:tcPr>
          <w:p>
            <w:pPr>
              <w:pStyle w:val="TableContents"/>
              <w:bidi w:val="0"/>
              <w:spacing w:before="0" w:after="283"/>
              <w:jc w:val="left"/>
              <w:rPr>
                <w:sz w:val="4"/>
                <w:szCs w:val="4"/>
              </w:rPr>
            </w:pPr>
            <w:r>
              <w:rPr>
                <w:sz w:val="4"/>
                <w:szCs w:val="4"/>
              </w:rPr>
            </w:r>
          </w:p>
        </w:tc>
        <w:tc>
          <w:tcPr>
            <w:tcW w:w="2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left"/>
              <w:rPr>
                <w:sz w:val="4"/>
                <w:szCs w:val="4"/>
              </w:rPr>
            </w:pPr>
            <w:r>
              <w:rPr>
                <w:sz w:val="4"/>
                <w:szCs w:val="4"/>
              </w:rPr>
            </w:r>
          </w:p>
        </w:tc>
        <w:tc>
          <w:tcPr>
            <w:tcW w:w="150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76" w:type="dxa"/>
            <w:tcBorders/>
            <w:shd w:fill="CCEEFF" w:val="clear"/>
            <w:vAlign w:val="center"/>
          </w:tcPr>
          <w:p>
            <w:pPr>
              <w:pStyle w:val="TableContents"/>
              <w:bidi w:val="0"/>
              <w:spacing w:before="0" w:after="283"/>
              <w:jc w:val="left"/>
              <w:rPr>
                <w:sz w:val="4"/>
                <w:szCs w:val="4"/>
              </w:rPr>
            </w:pPr>
            <w:r>
              <w:rPr>
                <w:sz w:val="4"/>
                <w:szCs w:val="4"/>
              </w:rPr>
            </w:r>
          </w:p>
        </w:tc>
      </w:tr>
      <w:tr>
        <w:trPr/>
        <w:tc>
          <w:tcPr>
            <w:tcW w:w="1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As of March 31, 2024</w:t>
            </w:r>
          </w:p>
        </w:tc>
        <w:tc>
          <w:tcPr>
            <w:tcW w:w="12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w:t>
            </w:r>
          </w:p>
        </w:tc>
        <w:tc>
          <w:tcPr>
            <w:tcW w:w="2175" w:type="dxa"/>
            <w:tcBorders/>
            <w:vAlign w:val="center"/>
          </w:tcPr>
          <w:p>
            <w:pPr>
              <w:pStyle w:val="TableContents"/>
              <w:bidi w:val="0"/>
              <w:spacing w:before="0" w:after="283"/>
              <w:jc w:val="right"/>
              <w:rPr/>
            </w:pPr>
            <w:r>
              <w:rPr/>
              <w:t>125,000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w:t>
            </w:r>
          </w:p>
        </w:tc>
        <w:tc>
          <w:tcPr>
            <w:tcW w:w="1120" w:type="dxa"/>
            <w:tcBorders/>
            <w:vAlign w:val="center"/>
          </w:tcPr>
          <w:p>
            <w:pPr>
              <w:pStyle w:val="TableContents"/>
              <w:bidi w:val="0"/>
              <w:spacing w:before="0" w:after="283"/>
              <w:jc w:val="right"/>
              <w:rPr/>
            </w:pPr>
            <w:r>
              <w:rPr/>
              <w:t>3,111</w:t>
            </w:r>
          </w:p>
        </w:tc>
        <w:tc>
          <w:tcPr>
            <w:tcW w:w="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3" w:type="dxa"/>
            <w:tcBorders/>
            <w:vAlign w:val="center"/>
          </w:tcPr>
          <w:p>
            <w:pPr>
              <w:pStyle w:val="TableContents"/>
              <w:bidi w:val="0"/>
              <w:spacing w:before="0" w:after="283"/>
              <w:jc w:val="left"/>
              <w:rPr/>
            </w:pPr>
            <w:r>
              <w:rPr/>
              <w:t> </w:t>
            </w:r>
          </w:p>
        </w:tc>
        <w:tc>
          <w:tcPr>
            <w:tcW w:w="150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N/A</w:t>
            </w:r>
          </w:p>
        </w:tc>
        <w:tc>
          <w:tcPr>
            <w:tcW w:w="76" w:type="dxa"/>
            <w:tcBorders/>
            <w:vAlign w:val="center"/>
          </w:tcPr>
          <w:p>
            <w:pPr>
              <w:pStyle w:val="TableContents"/>
              <w:bidi w:val="0"/>
              <w:spacing w:before="0" w:after="283"/>
              <w:jc w:val="left"/>
              <w:rPr/>
            </w:pPr>
            <w:r>
              <w:rPr/>
              <w:t> </w:t>
            </w:r>
          </w:p>
        </w:tc>
      </w:tr>
      <w:tr>
        <w:trPr/>
        <w:tc>
          <w:tcPr>
            <w:tcW w:w="1845" w:type="dxa"/>
            <w:tcBorders/>
            <w:vAlign w:val="center"/>
          </w:tcPr>
          <w:p>
            <w:pPr>
              <w:pStyle w:val="TableContents"/>
              <w:bidi w:val="0"/>
              <w:spacing w:before="0" w:after="283"/>
              <w:jc w:val="left"/>
              <w:rPr>
                <w:sz w:val="4"/>
                <w:szCs w:val="4"/>
              </w:rPr>
            </w:pPr>
            <w:r>
              <w:rPr>
                <w:sz w:val="4"/>
                <w:szCs w:val="4"/>
              </w:rPr>
            </w:r>
          </w:p>
        </w:tc>
        <w:tc>
          <w:tcPr>
            <w:tcW w:w="2735" w:type="dxa"/>
            <w:gridSpan w:val="4"/>
            <w:tcBorders/>
            <w:vAlign w:val="center"/>
          </w:tcPr>
          <w:p>
            <w:pPr>
              <w:pStyle w:val="TableContents"/>
              <w:bidi w:val="0"/>
              <w:spacing w:before="0" w:after="283"/>
              <w:jc w:val="left"/>
              <w:rPr>
                <w:sz w:val="4"/>
                <w:szCs w:val="4"/>
              </w:rPr>
            </w:pPr>
            <w:r>
              <w:rPr>
                <w:sz w:val="4"/>
                <w:szCs w:val="4"/>
              </w:rPr>
            </w:r>
          </w:p>
        </w:tc>
        <w:tc>
          <w:tcPr>
            <w:tcW w:w="1720" w:type="dxa"/>
            <w:gridSpan w:val="4"/>
            <w:tcBorders/>
            <w:vAlign w:val="center"/>
          </w:tcPr>
          <w:p>
            <w:pPr>
              <w:pStyle w:val="TableContents"/>
              <w:bidi w:val="0"/>
              <w:spacing w:before="0" w:after="283"/>
              <w:jc w:val="left"/>
              <w:rPr>
                <w:sz w:val="4"/>
                <w:szCs w:val="4"/>
              </w:rPr>
            </w:pPr>
            <w:r>
              <w:rPr>
                <w:sz w:val="4"/>
                <w:szCs w:val="4"/>
              </w:rPr>
            </w:r>
          </w:p>
        </w:tc>
        <w:tc>
          <w:tcPr>
            <w:tcW w:w="2264" w:type="dxa"/>
            <w:gridSpan w:val="4"/>
            <w:tcBorders/>
            <w:vAlign w:val="center"/>
          </w:tcPr>
          <w:p>
            <w:pPr>
              <w:pStyle w:val="TableContents"/>
              <w:bidi w:val="0"/>
              <w:spacing w:before="0" w:after="283"/>
              <w:jc w:val="left"/>
              <w:rPr>
                <w:sz w:val="4"/>
                <w:szCs w:val="4"/>
              </w:rPr>
            </w:pPr>
            <w:r>
              <w:rPr>
                <w:sz w:val="4"/>
                <w:szCs w:val="4"/>
              </w:rPr>
            </w:r>
          </w:p>
        </w:tc>
        <w:tc>
          <w:tcPr>
            <w:tcW w:w="1641" w:type="dxa"/>
            <w:gridSpan w:val="4"/>
            <w:tcBorders/>
            <w:vAlign w:val="center"/>
          </w:tcPr>
          <w:p>
            <w:pPr>
              <w:pStyle w:val="TableContents"/>
              <w:bidi w:val="0"/>
              <w:spacing w:before="0" w:after="283"/>
              <w:jc w:val="left"/>
              <w:rPr>
                <w:sz w:val="4"/>
                <w:szCs w:val="4"/>
              </w:rPr>
            </w:pPr>
            <w:r>
              <w:rPr>
                <w:sz w:val="4"/>
                <w:szCs w:val="4"/>
              </w:rPr>
            </w:r>
          </w:p>
        </w:tc>
      </w:tr>
      <w:tr>
        <w:trPr/>
        <w:tc>
          <w:tcPr>
            <w:tcW w:w="184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November 2026 Notes</w:t>
            </w:r>
          </w:p>
        </w:tc>
        <w:tc>
          <w:tcPr>
            <w:tcW w:w="12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sz w:val="4"/>
                <w:szCs w:val="4"/>
              </w:rPr>
            </w:pPr>
            <w:r>
              <w:rPr>
                <w:sz w:val="4"/>
                <w:szCs w:val="4"/>
              </w:rPr>
            </w:r>
          </w:p>
        </w:tc>
        <w:tc>
          <w:tcPr>
            <w:tcW w:w="21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sz w:val="4"/>
                <w:szCs w:val="4"/>
              </w:rPr>
            </w:pPr>
            <w:r>
              <w:rPr>
                <w:sz w:val="4"/>
                <w:szCs w:val="4"/>
              </w:rPr>
            </w:r>
          </w:p>
        </w:tc>
        <w:tc>
          <w:tcPr>
            <w:tcW w:w="1120" w:type="dxa"/>
            <w:tcBorders/>
            <w:shd w:fill="CCEEFF" w:val="clear"/>
            <w:vAlign w:val="center"/>
          </w:tcPr>
          <w:p>
            <w:pPr>
              <w:pStyle w:val="TableContents"/>
              <w:bidi w:val="0"/>
              <w:spacing w:before="0" w:after="283"/>
              <w:jc w:val="left"/>
              <w:rPr>
                <w:sz w:val="4"/>
                <w:szCs w:val="4"/>
              </w:rPr>
            </w:pPr>
            <w:r>
              <w:rPr>
                <w:sz w:val="4"/>
                <w:szCs w:val="4"/>
              </w:rPr>
            </w:r>
          </w:p>
        </w:tc>
        <w:tc>
          <w:tcPr>
            <w:tcW w:w="2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left"/>
              <w:rPr>
                <w:sz w:val="4"/>
                <w:szCs w:val="4"/>
              </w:rPr>
            </w:pPr>
            <w:r>
              <w:rPr>
                <w:sz w:val="4"/>
                <w:szCs w:val="4"/>
              </w:rPr>
            </w:r>
          </w:p>
        </w:tc>
        <w:tc>
          <w:tcPr>
            <w:tcW w:w="150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76" w:type="dxa"/>
            <w:tcBorders/>
            <w:shd w:fill="CCEEFF" w:val="clear"/>
            <w:vAlign w:val="center"/>
          </w:tcPr>
          <w:p>
            <w:pPr>
              <w:pStyle w:val="TableContents"/>
              <w:bidi w:val="0"/>
              <w:spacing w:before="0" w:after="283"/>
              <w:jc w:val="left"/>
              <w:rPr>
                <w:sz w:val="4"/>
                <w:szCs w:val="4"/>
              </w:rPr>
            </w:pPr>
            <w:r>
              <w:rPr>
                <w:sz w:val="4"/>
                <w:szCs w:val="4"/>
              </w:rPr>
            </w:r>
          </w:p>
        </w:tc>
      </w:tr>
      <w:tr>
        <w:trPr/>
        <w:tc>
          <w:tcPr>
            <w:tcW w:w="1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As of March 31, 2024</w:t>
            </w:r>
          </w:p>
        </w:tc>
        <w:tc>
          <w:tcPr>
            <w:tcW w:w="12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w:t>
            </w:r>
          </w:p>
        </w:tc>
        <w:tc>
          <w:tcPr>
            <w:tcW w:w="2175" w:type="dxa"/>
            <w:tcBorders/>
            <w:vAlign w:val="center"/>
          </w:tcPr>
          <w:p>
            <w:pPr>
              <w:pStyle w:val="TableContents"/>
              <w:bidi w:val="0"/>
              <w:spacing w:before="0" w:after="283"/>
              <w:jc w:val="right"/>
              <w:rPr/>
            </w:pPr>
            <w:r>
              <w:rPr/>
              <w:t>125,000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w:t>
            </w:r>
          </w:p>
        </w:tc>
        <w:tc>
          <w:tcPr>
            <w:tcW w:w="1120" w:type="dxa"/>
            <w:tcBorders/>
            <w:vAlign w:val="center"/>
          </w:tcPr>
          <w:p>
            <w:pPr>
              <w:pStyle w:val="TableContents"/>
              <w:bidi w:val="0"/>
              <w:spacing w:before="0" w:after="283"/>
              <w:jc w:val="right"/>
              <w:rPr/>
            </w:pPr>
            <w:r>
              <w:rPr/>
              <w:t>3,111</w:t>
            </w:r>
          </w:p>
        </w:tc>
        <w:tc>
          <w:tcPr>
            <w:tcW w:w="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3" w:type="dxa"/>
            <w:tcBorders/>
            <w:vAlign w:val="center"/>
          </w:tcPr>
          <w:p>
            <w:pPr>
              <w:pStyle w:val="TableContents"/>
              <w:bidi w:val="0"/>
              <w:spacing w:before="0" w:after="283"/>
              <w:jc w:val="left"/>
              <w:rPr/>
            </w:pPr>
            <w:r>
              <w:rPr/>
              <w:t> </w:t>
            </w:r>
          </w:p>
        </w:tc>
        <w:tc>
          <w:tcPr>
            <w:tcW w:w="150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N/A</w:t>
            </w:r>
          </w:p>
        </w:tc>
        <w:tc>
          <w:tcPr>
            <w:tcW w:w="76" w:type="dxa"/>
            <w:tcBorders/>
            <w:vAlign w:val="center"/>
          </w:tcPr>
          <w:p>
            <w:pPr>
              <w:pStyle w:val="TableContents"/>
              <w:bidi w:val="0"/>
              <w:spacing w:before="0" w:after="283"/>
              <w:jc w:val="left"/>
              <w:rPr/>
            </w:pPr>
            <w:r>
              <w:rPr/>
              <w:t> </w:t>
            </w:r>
          </w:p>
        </w:tc>
      </w:tr>
      <w:tr>
        <w:trPr/>
        <w:tc>
          <w:tcPr>
            <w:tcW w:w="1845" w:type="dxa"/>
            <w:tcBorders/>
            <w:vAlign w:val="center"/>
          </w:tcPr>
          <w:p>
            <w:pPr>
              <w:pStyle w:val="TableContents"/>
              <w:bidi w:val="0"/>
              <w:spacing w:before="0" w:after="283"/>
              <w:jc w:val="left"/>
              <w:rPr>
                <w:sz w:val="4"/>
                <w:szCs w:val="4"/>
              </w:rPr>
            </w:pPr>
            <w:r>
              <w:rPr>
                <w:sz w:val="4"/>
                <w:szCs w:val="4"/>
              </w:rPr>
            </w:r>
          </w:p>
        </w:tc>
        <w:tc>
          <w:tcPr>
            <w:tcW w:w="2735" w:type="dxa"/>
            <w:gridSpan w:val="4"/>
            <w:tcBorders/>
            <w:vAlign w:val="center"/>
          </w:tcPr>
          <w:p>
            <w:pPr>
              <w:pStyle w:val="TableContents"/>
              <w:bidi w:val="0"/>
              <w:spacing w:before="0" w:after="283"/>
              <w:jc w:val="left"/>
              <w:rPr>
                <w:sz w:val="4"/>
                <w:szCs w:val="4"/>
              </w:rPr>
            </w:pPr>
            <w:r>
              <w:rPr>
                <w:sz w:val="4"/>
                <w:szCs w:val="4"/>
              </w:rPr>
            </w:r>
          </w:p>
        </w:tc>
        <w:tc>
          <w:tcPr>
            <w:tcW w:w="1720" w:type="dxa"/>
            <w:gridSpan w:val="4"/>
            <w:tcBorders/>
            <w:vAlign w:val="center"/>
          </w:tcPr>
          <w:p>
            <w:pPr>
              <w:pStyle w:val="TableContents"/>
              <w:bidi w:val="0"/>
              <w:spacing w:before="0" w:after="283"/>
              <w:jc w:val="left"/>
              <w:rPr>
                <w:sz w:val="4"/>
                <w:szCs w:val="4"/>
              </w:rPr>
            </w:pPr>
            <w:r>
              <w:rPr>
                <w:sz w:val="4"/>
                <w:szCs w:val="4"/>
              </w:rPr>
            </w:r>
          </w:p>
        </w:tc>
        <w:tc>
          <w:tcPr>
            <w:tcW w:w="2264" w:type="dxa"/>
            <w:gridSpan w:val="4"/>
            <w:tcBorders/>
            <w:vAlign w:val="center"/>
          </w:tcPr>
          <w:p>
            <w:pPr>
              <w:pStyle w:val="TableContents"/>
              <w:bidi w:val="0"/>
              <w:spacing w:before="0" w:after="283"/>
              <w:jc w:val="left"/>
              <w:rPr>
                <w:sz w:val="4"/>
                <w:szCs w:val="4"/>
              </w:rPr>
            </w:pPr>
            <w:r>
              <w:rPr>
                <w:sz w:val="4"/>
                <w:szCs w:val="4"/>
              </w:rPr>
            </w:r>
          </w:p>
        </w:tc>
        <w:tc>
          <w:tcPr>
            <w:tcW w:w="1641" w:type="dxa"/>
            <w:gridSpan w:val="4"/>
            <w:tcBorders/>
            <w:vAlign w:val="center"/>
          </w:tcPr>
          <w:p>
            <w:pPr>
              <w:pStyle w:val="TableContents"/>
              <w:bidi w:val="0"/>
              <w:spacing w:before="0" w:after="283"/>
              <w:jc w:val="left"/>
              <w:rPr>
                <w:sz w:val="4"/>
                <w:szCs w:val="4"/>
              </w:rPr>
            </w:pPr>
            <w:r>
              <w:rPr>
                <w:sz w:val="4"/>
                <w:szCs w:val="4"/>
              </w:rPr>
            </w:r>
          </w:p>
        </w:tc>
      </w:tr>
      <w:tr>
        <w:trPr/>
        <w:tc>
          <w:tcPr>
            <w:tcW w:w="184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Secured Borrowings</w:t>
            </w:r>
          </w:p>
        </w:tc>
        <w:tc>
          <w:tcPr>
            <w:tcW w:w="12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sz w:val="4"/>
                <w:szCs w:val="4"/>
              </w:rPr>
            </w:pPr>
            <w:r>
              <w:rPr>
                <w:sz w:val="4"/>
                <w:szCs w:val="4"/>
              </w:rPr>
            </w:r>
          </w:p>
        </w:tc>
        <w:tc>
          <w:tcPr>
            <w:tcW w:w="21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sz w:val="4"/>
                <w:szCs w:val="4"/>
              </w:rPr>
            </w:pPr>
            <w:r>
              <w:rPr>
                <w:sz w:val="4"/>
                <w:szCs w:val="4"/>
              </w:rPr>
            </w:r>
          </w:p>
        </w:tc>
        <w:tc>
          <w:tcPr>
            <w:tcW w:w="1120" w:type="dxa"/>
            <w:tcBorders/>
            <w:shd w:fill="CCEEFF" w:val="clear"/>
            <w:vAlign w:val="center"/>
          </w:tcPr>
          <w:p>
            <w:pPr>
              <w:pStyle w:val="TableContents"/>
              <w:bidi w:val="0"/>
              <w:spacing w:before="0" w:after="283"/>
              <w:jc w:val="left"/>
              <w:rPr>
                <w:sz w:val="4"/>
                <w:szCs w:val="4"/>
              </w:rPr>
            </w:pPr>
            <w:r>
              <w:rPr>
                <w:sz w:val="4"/>
                <w:szCs w:val="4"/>
              </w:rPr>
            </w:r>
          </w:p>
        </w:tc>
        <w:tc>
          <w:tcPr>
            <w:tcW w:w="2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left"/>
              <w:rPr>
                <w:sz w:val="4"/>
                <w:szCs w:val="4"/>
              </w:rPr>
            </w:pPr>
            <w:r>
              <w:rPr>
                <w:sz w:val="4"/>
                <w:szCs w:val="4"/>
              </w:rPr>
            </w:r>
          </w:p>
        </w:tc>
        <w:tc>
          <w:tcPr>
            <w:tcW w:w="150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76" w:type="dxa"/>
            <w:tcBorders/>
            <w:shd w:fill="CCEEFF" w:val="clear"/>
            <w:vAlign w:val="center"/>
          </w:tcPr>
          <w:p>
            <w:pPr>
              <w:pStyle w:val="TableContents"/>
              <w:bidi w:val="0"/>
              <w:spacing w:before="0" w:after="283"/>
              <w:jc w:val="left"/>
              <w:rPr>
                <w:sz w:val="4"/>
                <w:szCs w:val="4"/>
              </w:rPr>
            </w:pPr>
            <w:r>
              <w:rPr>
                <w:sz w:val="4"/>
                <w:szCs w:val="4"/>
              </w:rPr>
            </w:r>
          </w:p>
        </w:tc>
      </w:tr>
      <w:tr>
        <w:trPr/>
        <w:tc>
          <w:tcPr>
            <w:tcW w:w="1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As of March 31, 2024</w:t>
            </w:r>
          </w:p>
        </w:tc>
        <w:tc>
          <w:tcPr>
            <w:tcW w:w="12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w:t>
            </w:r>
          </w:p>
        </w:tc>
        <w:tc>
          <w:tcPr>
            <w:tcW w:w="2175" w:type="dxa"/>
            <w:tcBorders/>
            <w:vAlign w:val="center"/>
          </w:tcPr>
          <w:p>
            <w:pPr>
              <w:pStyle w:val="TableContents"/>
              <w:bidi w:val="0"/>
              <w:spacing w:before="0" w:after="283"/>
              <w:jc w:val="right"/>
              <w:rPr/>
            </w:pPr>
            <w:r>
              <w:rPr/>
              <w:t>15,626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w:t>
            </w:r>
          </w:p>
        </w:tc>
        <w:tc>
          <w:tcPr>
            <w:tcW w:w="1120" w:type="dxa"/>
            <w:tcBorders/>
            <w:vAlign w:val="center"/>
          </w:tcPr>
          <w:p>
            <w:pPr>
              <w:pStyle w:val="TableContents"/>
              <w:bidi w:val="0"/>
              <w:spacing w:before="0" w:after="283"/>
              <w:jc w:val="right"/>
              <w:rPr/>
            </w:pPr>
            <w:r>
              <w:rPr/>
              <w:t>3,111</w:t>
            </w:r>
          </w:p>
        </w:tc>
        <w:tc>
          <w:tcPr>
            <w:tcW w:w="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3" w:type="dxa"/>
            <w:tcBorders/>
            <w:vAlign w:val="center"/>
          </w:tcPr>
          <w:p>
            <w:pPr>
              <w:pStyle w:val="TableContents"/>
              <w:bidi w:val="0"/>
              <w:spacing w:before="0" w:after="283"/>
              <w:jc w:val="left"/>
              <w:rPr/>
            </w:pPr>
            <w:r>
              <w:rPr/>
              <w:t> </w:t>
            </w:r>
          </w:p>
        </w:tc>
        <w:tc>
          <w:tcPr>
            <w:tcW w:w="150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N/A</w:t>
            </w:r>
          </w:p>
        </w:tc>
        <w:tc>
          <w:tcPr>
            <w:tcW w:w="7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7870" w:type="dxa"/>
        <w:jc w:val="left"/>
        <w:tblInd w:w="0" w:type="dxa"/>
        <w:tblLayout w:type="fixed"/>
        <w:tblCellMar>
          <w:top w:w="0" w:type="dxa"/>
          <w:left w:w="0" w:type="dxa"/>
          <w:bottom w:w="0" w:type="dxa"/>
          <w:right w:w="0" w:type="dxa"/>
        </w:tblCellMar>
      </w:tblPr>
      <w:tblGrid>
        <w:gridCol w:w="305"/>
        <w:gridCol w:w="7565"/>
      </w:tblGrid>
      <w:tr>
        <w:trPr/>
        <w:tc>
          <w:tcPr>
            <w:tcW w:w="305" w:type="dxa"/>
            <w:tcBorders/>
            <w:vAlign w:val="center"/>
          </w:tcPr>
          <w:p>
            <w:pPr>
              <w:pStyle w:val="TableContents"/>
              <w:bidi w:val="0"/>
              <w:spacing w:before="0" w:after="283"/>
              <w:jc w:val="left"/>
              <w:rPr/>
            </w:pPr>
            <w:r>
              <w:rPr/>
              <w:t>(1)</w:t>
            </w:r>
          </w:p>
        </w:tc>
        <w:tc>
          <w:tcPr>
            <w:tcW w:w="7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amount of each class of senior securities outstanding at the end of the period presented.</w:t>
            </w:r>
          </w:p>
        </w:tc>
      </w:tr>
    </w:tbl>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(2)</w:t>
            </w:r>
          </w:p>
        </w:tc>
        <w:tc>
          <w:tcPr>
            <w:tcW w:w="99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Asset coverage per unit is the ratio of the carrying value of our total consolidated assets, less all liabilities and indebtedness not represented by senior securities, to the aggregate amount of senior securities representing indebtedness. Asset coverage per unit is expressed in terms of dollar amounts per $1,000 of indebtedness.</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(3)</w:t>
            </w:r>
          </w:p>
        </w:tc>
        <w:tc>
          <w:tcPr>
            <w:tcW w:w="9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amount to which such class of senior security would be entitled upon the involuntary liquidation of the issuer in preference to any security junior to it. The “*” indicates information which the SEC expressly does not require to be disclosed for certain types of senior securities.</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(4)</w:t>
            </w:r>
          </w:p>
        </w:tc>
        <w:tc>
          <w:tcPr>
            <w:tcW w:w="995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Not applicable to the SBA debentures, the Credit Facility, the January 2026 Notes, the November 2026 Notes and the Secured Borrowings because these senior securities are not registered for public trading. The January 2026 Notes and the November 2026 Notes were issued in minimum denominations of $2,000 and integral multiples of $1,000 in excess thereof.</w:t>
            </w:r>
          </w:p>
        </w:tc>
      </w:tr>
    </w:tbl>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(5)</w:t>
            </w:r>
          </w:p>
        </w:tc>
        <w:tc>
          <w:tcPr>
            <w:tcW w:w="99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 indicates that we have excluded our SBA debentures from the asset coverage calculation pursuant to the exemptive relief granted by the SEC in June 2014 that permits us to exclude the senior securities issued by the Funds from the definition of senior securities in the asset coverage requirement applicable to us under the 1940 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3" w:name="toc29698_12"/>
      <w:bookmarkEnd w:id="13"/>
      <w:r>
        <w:rPr>
          <w:rFonts w:ascii="Times New Roman" w:hAnsi="Times New Roman"/>
          <w:b/>
          <w:sz w:val="20"/>
        </w:rPr>
        <w:t xml:space="preserve">THE COMPANY </w:t>
      </w:r>
    </w:p>
    <w:p>
      <w:pPr>
        <w:pStyle w:val="TextBody"/>
        <w:bidi w:val="0"/>
        <w:spacing w:before="240" w:after="0"/>
        <w:jc w:val="left"/>
        <w:rPr/>
      </w:pPr>
      <w:r>
        <w:rPr>
          <w:rFonts w:ascii="Times New Roman" w:hAnsi="Times New Roman"/>
          <w:sz w:val="20"/>
        </w:rPr>
        <w:t xml:space="preserve">The information in the sections entitled “Business” in Part I, Item 1 and “Properties” in Part I, Item 2 of our most recent </w:t>
      </w:r>
      <w:hyperlink r:id="rId22">
        <w:r>
          <w:rPr>
            <w:rStyle w:val="InternetLink"/>
            <w:rFonts w:ascii="Times New Roman" w:hAnsi="Times New Roman"/>
            <w:sz w:val="20"/>
          </w:rPr>
          <w:t>Annual Report on Form 10-K</w:t>
        </w:r>
      </w:hyperlink>
      <w:r>
        <w:rPr>
          <w:rFonts w:ascii="Times New Roman" w:hAnsi="Times New Roman"/>
          <w:sz w:val="20"/>
        </w:rPr>
        <w:t xml:space="preserve"> and in the section entitled “Legal Proceedings” in Part I, Item 3 in our most recent </w:t>
      </w:r>
      <w:hyperlink r:id="rId23">
        <w:r>
          <w:rPr>
            <w:rStyle w:val="InternetLink"/>
            <w:rFonts w:ascii="Times New Roman" w:hAnsi="Times New Roman"/>
            <w:sz w:val="20"/>
          </w:rPr>
          <w:t>Annual Report on Form 10-K</w:t>
        </w:r>
      </w:hyperlink>
      <w:r>
        <w:rPr>
          <w:rFonts w:ascii="Times New Roman" w:hAnsi="Times New Roman"/>
          <w:sz w:val="20"/>
        </w:rPr>
        <w:t xml:space="preserve"> is incorporated herein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4" w:name="toc29698_13"/>
      <w:bookmarkEnd w:id="14"/>
      <w:r>
        <w:rPr>
          <w:rFonts w:ascii="Times New Roman" w:hAnsi="Times New Roman"/>
          <w:b/>
          <w:sz w:val="20"/>
        </w:rPr>
        <w:t xml:space="preserve">PORTFOLIO COMPANIES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certain information regarding each of the portfolio companies in which we had a debt or equity investment as of March 31, 2024. As of March 31, 2024, we did not make any investments in a portfolio company that represented greater than 5.0% of our total assets as of March 31, 2024. Our only relationships with our portfolio companies are the managerial assistance we may separately provide to our portfolio companies, which services would be ancillary to our investments. We offer to make available significant managerial assistance to our portfolio companies. We may receive rights to observe the meetings of our portfolio companies’ board of directors. </w:t>
      </w:r>
    </w:p>
    <w:p>
      <w:pPr>
        <w:pStyle w:val="TextBody"/>
        <w:bidi w:val="0"/>
        <w:spacing w:before="0" w:after="0"/>
        <w:jc w:val="left"/>
        <w:rPr/>
      </w:pPr>
      <w:r>
        <w:rPr/>
        <w:t> </w:t>
      </w:r>
    </w:p>
    <w:tbl>
      <w:tblPr>
        <w:tblW w:w="14115" w:type="dxa"/>
        <w:jc w:val="left"/>
        <w:tblInd w:w="0" w:type="dxa"/>
        <w:tblLayout w:type="fixed"/>
        <w:tblCellMar>
          <w:top w:w="0" w:type="dxa"/>
          <w:left w:w="0" w:type="dxa"/>
          <w:bottom w:w="0" w:type="dxa"/>
          <w:right w:w="0" w:type="dxa"/>
        </w:tblCellMar>
      </w:tblPr>
      <w:tblGrid>
        <w:gridCol w:w="935"/>
        <w:gridCol w:w="60"/>
        <w:gridCol w:w="1970"/>
        <w:gridCol w:w="60"/>
        <w:gridCol w:w="1415"/>
        <w:gridCol w:w="60"/>
        <w:gridCol w:w="110"/>
        <w:gridCol w:w="1035"/>
        <w:gridCol w:w="275"/>
        <w:gridCol w:w="60"/>
        <w:gridCol w:w="575"/>
        <w:gridCol w:w="60"/>
        <w:gridCol w:w="755"/>
        <w:gridCol w:w="60"/>
        <w:gridCol w:w="60"/>
        <w:gridCol w:w="1085"/>
        <w:gridCol w:w="60"/>
        <w:gridCol w:w="60"/>
        <w:gridCol w:w="60"/>
        <w:gridCol w:w="875"/>
        <w:gridCol w:w="60"/>
        <w:gridCol w:w="60"/>
        <w:gridCol w:w="190"/>
        <w:gridCol w:w="760"/>
        <w:gridCol w:w="60"/>
        <w:gridCol w:w="60"/>
        <w:gridCol w:w="140"/>
        <w:gridCol w:w="680"/>
        <w:gridCol w:w="60"/>
        <w:gridCol w:w="60"/>
        <w:gridCol w:w="149"/>
        <w:gridCol w:w="726"/>
        <w:gridCol w:w="60"/>
        <w:gridCol w:w="60"/>
        <w:gridCol w:w="321"/>
        <w:gridCol w:w="749"/>
        <w:gridCol w:w="290"/>
      </w:tblGrid>
      <w:tr>
        <w:trPr/>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0"/>
              <w:jc w:val="left"/>
              <w:rPr>
                <w:rFonts w:ascii="Times New Roman" w:hAnsi="Times New Roman"/>
                <w:b/>
                <w:sz w:val="13"/>
              </w:rPr>
            </w:pPr>
            <w:r>
              <w:rPr>
                <w:rFonts w:ascii="Times New Roman" w:hAnsi="Times New Roman"/>
                <w:b/>
                <w:sz w:val="13"/>
              </w:rPr>
              <w:t>Portfolio Company (a)(b)</w:t>
            </w:r>
          </w:p>
          <w:p>
            <w:pPr>
              <w:pStyle w:val="TableContents"/>
              <w:bidi w:val="0"/>
              <w:spacing w:before="0" w:after="0"/>
              <w:jc w:val="left"/>
              <w:rPr/>
            </w:pPr>
            <w:r>
              <w:rPr/>
              <w:t> </w:t>
            </w:r>
          </w:p>
          <w:p>
            <w:pPr>
              <w:pStyle w:val="TableContents"/>
              <w:pBdr>
                <w:bottom w:val="single" w:sz="8" w:space="1" w:color="000000"/>
              </w:pBdr>
              <w:bidi w:val="0"/>
              <w:spacing w:before="0" w:after="20"/>
              <w:jc w:val="left"/>
              <w:rPr>
                <w:rFonts w:ascii="Times New Roman" w:hAnsi="Times New Roman"/>
                <w:b/>
                <w:sz w:val="13"/>
              </w:rPr>
            </w:pPr>
            <w:r>
              <w:rPr>
                <w:rFonts w:ascii="Times New Roman" w:hAnsi="Times New Roman"/>
                <w:b/>
                <w:sz w:val="13"/>
              </w:rPr>
              <w:t>Address of Portfolio Company</w:t>
            </w:r>
          </w:p>
        </w:tc>
        <w:tc>
          <w:tcPr>
            <w:tcW w:w="60" w:type="dxa"/>
            <w:tcBorders/>
            <w:vAlign w:val="center"/>
          </w:tcPr>
          <w:p>
            <w:pPr>
              <w:pStyle w:val="TableContents"/>
              <w:bidi w:val="0"/>
              <w:spacing w:before="0" w:after="283"/>
              <w:jc w:val="left"/>
              <w:rPr/>
            </w:pPr>
            <w:r>
              <w:rPr/>
              <w:t> </w:t>
            </w:r>
          </w:p>
        </w:tc>
        <w:tc>
          <w:tcPr>
            <w:tcW w:w="197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Investment Type (c)</w:t>
            </w:r>
          </w:p>
        </w:tc>
        <w:tc>
          <w:tcPr>
            <w:tcW w:w="60" w:type="dxa"/>
            <w:tcBorders/>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Industry</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 Class</w:t>
              <w:br/>
              <w:t>Held (aw)</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Variable</w:t>
              <w:br/>
              <w:t>Index Spread</w:t>
              <w:br/>
              <w:t>/ Floor (d)</w:t>
            </w:r>
          </w:p>
        </w:tc>
        <w:tc>
          <w:tcPr>
            <w:tcW w:w="60" w:type="dxa"/>
            <w:tcBorders/>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Rate (e)</w:t>
              <w:br/>
              <w:t>Cash/PIK</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Investment</w:t>
              <w:br/>
              <w:t>Date (f)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Maturity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Principal</w:t>
              <w:b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Value (g)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 of</w:t>
              <w:br/>
              <w:t>Net Assets</w:t>
            </w:r>
          </w:p>
        </w:tc>
        <w:tc>
          <w:tcPr>
            <w:tcW w:w="290" w:type="dxa"/>
            <w:tcBorders/>
            <w:vAlign w:val="center"/>
          </w:tcPr>
          <w:p>
            <w:pPr>
              <w:pStyle w:val="TableContents"/>
              <w:bidi w:val="0"/>
              <w:spacing w:before="0" w:after="283"/>
              <w:jc w:val="left"/>
              <w:rPr/>
            </w:pPr>
            <w:r>
              <w:rPr/>
              <w:t> </w:t>
            </w:r>
          </w:p>
        </w:tc>
      </w:tr>
      <w:tr>
        <w:trPr/>
        <w:tc>
          <w:tcPr>
            <w:tcW w:w="935" w:type="dxa"/>
            <w:tcBorders/>
            <w:shd w:fill="CCEEFF" w:val="clear"/>
            <w:vAlign w:val="center"/>
          </w:tcPr>
          <w:p>
            <w:pPr>
              <w:pStyle w:val="TableContents"/>
              <w:bidi w:val="0"/>
              <w:spacing w:before="0" w:after="0"/>
              <w:jc w:val="left"/>
              <w:rPr>
                <w:rFonts w:ascii="Times New Roman" w:hAnsi="Times New Roman"/>
                <w:b/>
                <w:sz w:val="14"/>
                <w:u w:val="single"/>
              </w:rPr>
            </w:pPr>
            <w:r>
              <w:rPr>
                <w:rFonts w:ascii="Times New Roman" w:hAnsi="Times New Roman"/>
                <w:b/>
                <w:sz w:val="14"/>
                <w:u w:val="single"/>
              </w:rPr>
              <w:t>Control Investments (t)</w:t>
            </w:r>
          </w:p>
        </w:tc>
        <w:tc>
          <w:tcPr>
            <w:tcW w:w="60" w:type="dxa"/>
            <w:tcBorders/>
            <w:shd w:fill="CCEEFF" w:val="clear"/>
            <w:vAlign w:val="center"/>
          </w:tcPr>
          <w:p>
            <w:pPr>
              <w:pStyle w:val="TableContents"/>
              <w:bidi w:val="0"/>
              <w:spacing w:before="0" w:after="283"/>
              <w:jc w:val="left"/>
              <w:rPr/>
            </w:pPr>
            <w:r>
              <w:rPr/>
              <w:t> </w:t>
            </w:r>
          </w:p>
        </w:tc>
        <w:tc>
          <w:tcPr>
            <w:tcW w:w="19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103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7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sz w:val="4"/>
                <w:szCs w:val="4"/>
              </w:rPr>
            </w:pPr>
            <w:r>
              <w:rPr>
                <w:sz w:val="4"/>
                <w:szCs w:val="4"/>
              </w:rPr>
            </w:r>
          </w:p>
        </w:tc>
        <w:tc>
          <w:tcPr>
            <w:tcW w:w="72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US GreenFiber, LLC (n)</w:t>
            </w:r>
          </w:p>
        </w:tc>
        <w:tc>
          <w:tcPr>
            <w:tcW w:w="6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Building Products Manufacturing</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3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5500 77 Center Drive, Suite 100</w:t>
            </w:r>
          </w:p>
        </w:tc>
        <w:tc>
          <w:tcPr>
            <w:tcW w:w="60" w:type="dxa"/>
            <w:tcBorders/>
            <w:shd w:fill="CCEEFF" w:val="clear"/>
            <w:vAlign w:val="center"/>
          </w:tcPr>
          <w:p>
            <w:pPr>
              <w:pStyle w:val="TableContents"/>
              <w:bidi w:val="0"/>
              <w:spacing w:before="0" w:after="283"/>
              <w:jc w:val="left"/>
              <w:rPr/>
            </w:pPr>
            <w:r>
              <w:rPr/>
              <w:t> </w:t>
            </w:r>
          </w:p>
        </w:tc>
        <w:tc>
          <w:tcPr>
            <w:tcW w:w="1970" w:type="dxa"/>
            <w:tcBorders/>
            <w:shd w:fill="CCEEFF" w:val="clear"/>
            <w:vAlign w:val="center"/>
          </w:tcPr>
          <w:p>
            <w:pPr>
              <w:pStyle w:val="TableContents"/>
              <w:bidi w:val="0"/>
              <w:spacing w:before="0" w:after="283"/>
              <w:jc w:val="left"/>
              <w:rPr/>
            </w:pPr>
            <w:r>
              <w:rPr/>
              <w:t>Second Lien Debt (j)(y)</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103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10.00%/3.00%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7/3/2014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8/30/2024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760" w:type="dxa"/>
            <w:tcBorders/>
            <w:shd w:fill="CCEEFF" w:val="clear"/>
            <w:vAlign w:val="center"/>
          </w:tcPr>
          <w:p>
            <w:pPr>
              <w:pStyle w:val="TableContents"/>
              <w:bidi w:val="0"/>
              <w:spacing w:before="0" w:after="283"/>
              <w:jc w:val="right"/>
              <w:rPr/>
            </w:pPr>
            <w:r>
              <w:rPr/>
              <w:t>5,226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5,223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72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Charlotte, NC 28217</w:t>
            </w:r>
          </w:p>
        </w:tc>
        <w:tc>
          <w:tcPr>
            <w:tcW w:w="6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pPr>
            <w:r>
              <w:rPr/>
              <w:t>Common Equity (2,522 units) (h)(j)</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7/3/2014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585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70" w:type="dxa"/>
            <w:tcBorders/>
            <w:shd w:fill="CCEEFF" w:val="clear"/>
            <w:vAlign w:val="center"/>
          </w:tcPr>
          <w:p>
            <w:pPr>
              <w:pStyle w:val="TableContents"/>
              <w:bidi w:val="0"/>
              <w:spacing w:before="0" w:after="283"/>
              <w:jc w:val="left"/>
              <w:rPr/>
            </w:pPr>
            <w:r>
              <w:rPr/>
              <w:t>Common Equity (425,508 units) (j)</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47.90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8/30/2019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7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pPr>
            <w:r>
              <w:rPr/>
              <w:t>Common Equity (1,022,813 units) (h)(j)</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65.25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7/1/2020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pBdr>
                <w:top w:val="single" w:sz="2" w:space="1" w:color="000000"/>
              </w:pBdr>
              <w:bidi w:val="0"/>
              <w:spacing w:before="0" w:after="0"/>
              <w:jc w:val="left"/>
              <w:rPr/>
            </w:pPr>
            <w:r>
              <w:rPr/>
              <w:t> </w:t>
            </w:r>
          </w:p>
        </w:tc>
        <w:tc>
          <w:tcPr>
            <w:tcW w:w="726"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103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7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6,832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0</w:t>
            </w:r>
          </w:p>
        </w:tc>
        <w:tc>
          <w:tcPr>
            <w:tcW w:w="290" w:type="dxa"/>
            <w:tcBorders/>
            <w:shd w:fill="CCEEFF" w:val="clear"/>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68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pBdr>
                <w:top w:val="double" w:sz="6" w:space="1" w:color="000000"/>
              </w:pBdr>
              <w:bidi w:val="0"/>
              <w:spacing w:before="0" w:after="0"/>
              <w:jc w:val="left"/>
              <w:rPr/>
            </w:pPr>
            <w:r>
              <w:rPr/>
              <w:t> </w:t>
            </w:r>
          </w:p>
        </w:tc>
        <w:tc>
          <w:tcPr>
            <w:tcW w:w="726"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0"/>
              <w:jc w:val="left"/>
              <w:rPr>
                <w:rFonts w:ascii="Times New Roman" w:hAnsi="Times New Roman"/>
                <w:b/>
                <w:sz w:val="14"/>
              </w:rPr>
            </w:pPr>
            <w:r>
              <w:rPr>
                <w:rFonts w:ascii="Times New Roman" w:hAnsi="Times New Roman"/>
                <w:b/>
                <w:sz w:val="14"/>
              </w:rPr>
              <w:t>Total Control Investments</w:t>
            </w:r>
          </w:p>
        </w:tc>
        <w:tc>
          <w:tcPr>
            <w:tcW w:w="6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6,832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w:t>
            </w:r>
          </w:p>
        </w:tc>
        <w:tc>
          <w:tcPr>
            <w:tcW w:w="72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0</w:t>
            </w:r>
          </w:p>
        </w:tc>
        <w:tc>
          <w:tcPr>
            <w:tcW w:w="290" w:type="dxa"/>
            <w:tcBorders/>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283"/>
              <w:jc w:val="left"/>
              <w:rPr>
                <w:sz w:val="4"/>
                <w:szCs w:val="4"/>
              </w:rPr>
            </w:pPr>
            <w:r>
              <w:rPr>
                <w:sz w:val="4"/>
                <w:szCs w:val="4"/>
              </w:rPr>
            </w:r>
          </w:p>
        </w:tc>
        <w:tc>
          <w:tcPr>
            <w:tcW w:w="203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635"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94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935" w:type="dxa"/>
            <w:tcBorders/>
            <w:shd w:fill="CCEEFF" w:val="clear"/>
            <w:vAlign w:val="center"/>
          </w:tcPr>
          <w:p>
            <w:pPr>
              <w:pStyle w:val="TableContents"/>
              <w:bidi w:val="0"/>
              <w:spacing w:before="0" w:after="0"/>
              <w:jc w:val="left"/>
              <w:rPr>
                <w:rFonts w:ascii="Times New Roman" w:hAnsi="Times New Roman"/>
                <w:b/>
                <w:sz w:val="14"/>
                <w:u w:val="single"/>
              </w:rPr>
            </w:pPr>
            <w:r>
              <w:rPr>
                <w:rFonts w:ascii="Times New Roman" w:hAnsi="Times New Roman"/>
                <w:b/>
                <w:sz w:val="14"/>
                <w:u w:val="single"/>
              </w:rPr>
              <w:t>Affiliate Investments (l)</w:t>
            </w:r>
          </w:p>
        </w:tc>
        <w:tc>
          <w:tcPr>
            <w:tcW w:w="60" w:type="dxa"/>
            <w:tcBorders/>
            <w:shd w:fill="CCEEFF" w:val="clear"/>
            <w:vAlign w:val="center"/>
          </w:tcPr>
          <w:p>
            <w:pPr>
              <w:pStyle w:val="TableContents"/>
              <w:bidi w:val="0"/>
              <w:spacing w:before="0" w:after="283"/>
              <w:jc w:val="left"/>
              <w:rPr/>
            </w:pPr>
            <w:r>
              <w:rPr/>
              <w:t> </w:t>
            </w:r>
          </w:p>
        </w:tc>
        <w:tc>
          <w:tcPr>
            <w:tcW w:w="19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103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7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sz w:val="4"/>
                <w:szCs w:val="4"/>
              </w:rPr>
            </w:pPr>
            <w:r>
              <w:rPr>
                <w:sz w:val="4"/>
                <w:szCs w:val="4"/>
              </w:rPr>
            </w:r>
          </w:p>
        </w:tc>
        <w:tc>
          <w:tcPr>
            <w:tcW w:w="72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Applegate Greenfiber Intermediate Inc. (fka US GreenFiber, LLC)</w:t>
            </w:r>
          </w:p>
        </w:tc>
        <w:tc>
          <w:tcPr>
            <w:tcW w:w="6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Building Products Manufacturing</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3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5500 77 Center Drive, Suite 100</w:t>
            </w:r>
          </w:p>
        </w:tc>
        <w:tc>
          <w:tcPr>
            <w:tcW w:w="60" w:type="dxa"/>
            <w:tcBorders/>
            <w:shd w:fill="CCEEFF" w:val="clear"/>
            <w:vAlign w:val="center"/>
          </w:tcPr>
          <w:p>
            <w:pPr>
              <w:pStyle w:val="TableContents"/>
              <w:bidi w:val="0"/>
              <w:spacing w:before="0" w:after="283"/>
              <w:jc w:val="left"/>
              <w:rPr/>
            </w:pPr>
            <w:r>
              <w:rPr/>
              <w:t> </w:t>
            </w:r>
          </w:p>
        </w:tc>
        <w:tc>
          <w:tcPr>
            <w:tcW w:w="1970" w:type="dxa"/>
            <w:tcBorders/>
            <w:shd w:fill="CCEEFF" w:val="clear"/>
            <w:vAlign w:val="center"/>
          </w:tcPr>
          <w:p>
            <w:pPr>
              <w:pStyle w:val="TableContents"/>
              <w:bidi w:val="0"/>
              <w:spacing w:before="0" w:after="283"/>
              <w:jc w:val="left"/>
              <w:rPr/>
            </w:pPr>
            <w:r>
              <w:rPr/>
              <w:t>Subordinated Debt (j)</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103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12/31/2021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12/31/2027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760" w:type="dxa"/>
            <w:tcBorders/>
            <w:shd w:fill="CCEEFF" w:val="clear"/>
            <w:vAlign w:val="center"/>
          </w:tcPr>
          <w:p>
            <w:pPr>
              <w:pStyle w:val="TableContents"/>
              <w:bidi w:val="0"/>
              <w:spacing w:before="0" w:after="283"/>
              <w:jc w:val="right"/>
              <w:rPr/>
            </w:pPr>
            <w:r>
              <w:rPr/>
              <w:t>9,602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9,602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726" w:type="dxa"/>
            <w:tcBorders/>
            <w:shd w:fill="CCEEFF" w:val="clear"/>
            <w:vAlign w:val="center"/>
          </w:tcPr>
          <w:p>
            <w:pPr>
              <w:pStyle w:val="TableContents"/>
              <w:bidi w:val="0"/>
              <w:spacing w:before="0" w:after="283"/>
              <w:jc w:val="right"/>
              <w:rPr/>
            </w:pPr>
            <w:r>
              <w:rPr/>
              <w:t>9,602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Charlotte, NC 28217</w:t>
            </w:r>
          </w:p>
        </w:tc>
        <w:tc>
          <w:tcPr>
            <w:tcW w:w="6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pPr>
            <w:r>
              <w:rPr/>
              <w:t>Common Equity (5,690 units) (h)(j)</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9.60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12/31/2021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5,690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right"/>
              <w:rPr/>
            </w:pPr>
            <w:r>
              <w:rPr/>
              <w:t>6,811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70" w:type="dxa"/>
            <w:tcBorders/>
            <w:shd w:fill="CCEEFF" w:val="clear"/>
            <w:vAlign w:val="center"/>
          </w:tcPr>
          <w:p>
            <w:pPr>
              <w:pStyle w:val="TableContents"/>
              <w:bidi w:val="0"/>
              <w:spacing w:before="0" w:after="283"/>
              <w:jc w:val="left"/>
              <w:rPr/>
            </w:pPr>
            <w:r>
              <w:rPr/>
              <w:t>Common Equity (7,113 units) (h)(j)</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12/31/2021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7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7,113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8,442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pPr>
            <w:r>
              <w:rPr/>
              <w:t>Common Equity (2,012 units) (h)(j)</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3.40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12/31/2021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pBdr>
                <w:top w:val="single" w:sz="2" w:space="1" w:color="000000"/>
              </w:pBdr>
              <w:bidi w:val="0"/>
              <w:spacing w:before="0" w:after="0"/>
              <w:jc w:val="left"/>
              <w:rPr/>
            </w:pPr>
            <w:r>
              <w:rPr/>
              <w:t> </w:t>
            </w:r>
          </w:p>
        </w:tc>
        <w:tc>
          <w:tcPr>
            <w:tcW w:w="726"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103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7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22,405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24,855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4</w:t>
            </w:r>
          </w:p>
        </w:tc>
        <w:tc>
          <w:tcPr>
            <w:tcW w:w="290" w:type="dxa"/>
            <w:tcBorders/>
            <w:shd w:fill="CCEEFF" w:val="clear"/>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283"/>
              <w:jc w:val="left"/>
              <w:rPr>
                <w:sz w:val="4"/>
                <w:szCs w:val="4"/>
              </w:rPr>
            </w:pPr>
            <w:r>
              <w:rPr>
                <w:sz w:val="4"/>
                <w:szCs w:val="4"/>
              </w:rPr>
            </w:r>
          </w:p>
        </w:tc>
        <w:tc>
          <w:tcPr>
            <w:tcW w:w="203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635"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94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Medsurant Holdings, LLC</w:t>
            </w:r>
          </w:p>
        </w:tc>
        <w:tc>
          <w:tcPr>
            <w:tcW w:w="6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Healthcare Services</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3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100 Front Street, Suite 280</w:t>
            </w:r>
          </w:p>
        </w:tc>
        <w:tc>
          <w:tcPr>
            <w:tcW w:w="60" w:type="dxa"/>
            <w:tcBorders/>
            <w:shd w:fill="CCEEFF" w:val="clear"/>
            <w:vAlign w:val="center"/>
          </w:tcPr>
          <w:p>
            <w:pPr>
              <w:pStyle w:val="TableContents"/>
              <w:bidi w:val="0"/>
              <w:spacing w:before="0" w:after="283"/>
              <w:jc w:val="left"/>
              <w:rPr/>
            </w:pPr>
            <w:r>
              <w:rPr/>
              <w:t> </w:t>
            </w:r>
          </w:p>
        </w:tc>
        <w:tc>
          <w:tcPr>
            <w:tcW w:w="1970" w:type="dxa"/>
            <w:tcBorders/>
            <w:shd w:fill="CCEEFF" w:val="clear"/>
            <w:vAlign w:val="center"/>
          </w:tcPr>
          <w:p>
            <w:pPr>
              <w:pStyle w:val="TableContents"/>
              <w:bidi w:val="0"/>
              <w:spacing w:before="0" w:after="283"/>
              <w:jc w:val="left"/>
              <w:rPr/>
            </w:pPr>
            <w:r>
              <w:rPr/>
              <w:t>Preferred Equity (84,997 units) (h)(j)</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2.25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4/12/2011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7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1,654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Conshohocken, PA 19428</w:t>
            </w:r>
          </w:p>
        </w:tc>
        <w:tc>
          <w:tcPr>
            <w:tcW w:w="6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pPr>
            <w:r>
              <w:rPr/>
              <w:t>Warrant (252,588 units) (h)(j)(m)</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6.4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4/12/2011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2,257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right"/>
              <w:rPr/>
            </w:pPr>
            <w:r>
              <w:rPr/>
              <w:t>5,810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103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7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2,572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7,464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1</w:t>
            </w:r>
          </w:p>
        </w:tc>
        <w:tc>
          <w:tcPr>
            <w:tcW w:w="290" w:type="dxa"/>
            <w:tcBorders/>
            <w:shd w:fill="CCEEFF" w:val="clear"/>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283"/>
              <w:jc w:val="left"/>
              <w:rPr>
                <w:sz w:val="4"/>
                <w:szCs w:val="4"/>
              </w:rPr>
            </w:pPr>
            <w:r>
              <w:rPr>
                <w:sz w:val="4"/>
                <w:szCs w:val="4"/>
              </w:rPr>
            </w:r>
          </w:p>
        </w:tc>
        <w:tc>
          <w:tcPr>
            <w:tcW w:w="203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635"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94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Pfanstiehl, Inc.</w:t>
            </w:r>
          </w:p>
        </w:tc>
        <w:tc>
          <w:tcPr>
            <w:tcW w:w="6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Healthcare Products</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3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1219 Glen Rock Avenue</w:t>
            </w:r>
          </w:p>
        </w:tc>
        <w:tc>
          <w:tcPr>
            <w:tcW w:w="60" w:type="dxa"/>
            <w:tcBorders/>
            <w:shd w:fill="CCEEFF" w:val="clear"/>
            <w:vAlign w:val="center"/>
          </w:tcPr>
          <w:p>
            <w:pPr>
              <w:pStyle w:val="TableContents"/>
              <w:bidi w:val="0"/>
              <w:spacing w:before="0" w:after="283"/>
              <w:jc w:val="left"/>
              <w:rPr/>
            </w:pPr>
            <w:r>
              <w:rPr/>
              <w:t> </w:t>
            </w:r>
          </w:p>
        </w:tc>
        <w:tc>
          <w:tcPr>
            <w:tcW w:w="1970" w:type="dxa"/>
            <w:tcBorders/>
            <w:shd w:fill="CCEEFF" w:val="clear"/>
            <w:vAlign w:val="center"/>
          </w:tcPr>
          <w:p>
            <w:pPr>
              <w:pStyle w:val="TableContents"/>
              <w:bidi w:val="0"/>
              <w:spacing w:before="0" w:after="283"/>
              <w:jc w:val="left"/>
              <w:rPr/>
            </w:pPr>
            <w:r>
              <w:rPr/>
              <w:t>Common Equity (2,550 units) (j)</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7.3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3/29/2013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7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29,713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5</w:t>
            </w:r>
          </w:p>
        </w:tc>
        <w:tc>
          <w:tcPr>
            <w:tcW w:w="290" w:type="dxa"/>
            <w:tcBorders/>
            <w:shd w:fill="CCEEFF" w:val="clear"/>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Waukegan, IL 60085</w:t>
            </w:r>
          </w:p>
        </w:tc>
        <w:tc>
          <w:tcPr>
            <w:tcW w:w="6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bidi w:val="0"/>
        <w:jc w:val="left"/>
        <w:rPr/>
      </w:pPr>
      <w:r>
        <w:rPr/>
      </w:r>
    </w:p>
    <w:tbl>
      <w:tblPr>
        <w:tblW w:w="14895" w:type="dxa"/>
        <w:jc w:val="left"/>
        <w:tblInd w:w="0" w:type="dxa"/>
        <w:tblLayout w:type="fixed"/>
        <w:tblCellMar>
          <w:top w:w="0" w:type="dxa"/>
          <w:left w:w="0" w:type="dxa"/>
          <w:bottom w:w="0" w:type="dxa"/>
          <w:right w:w="0" w:type="dxa"/>
        </w:tblCellMar>
      </w:tblPr>
      <w:tblGrid>
        <w:gridCol w:w="800"/>
        <w:gridCol w:w="60"/>
        <w:gridCol w:w="1670"/>
        <w:gridCol w:w="60"/>
        <w:gridCol w:w="2105"/>
        <w:gridCol w:w="60"/>
        <w:gridCol w:w="137"/>
        <w:gridCol w:w="1008"/>
        <w:gridCol w:w="275"/>
        <w:gridCol w:w="60"/>
        <w:gridCol w:w="1100"/>
        <w:gridCol w:w="60"/>
        <w:gridCol w:w="755"/>
        <w:gridCol w:w="60"/>
        <w:gridCol w:w="60"/>
        <w:gridCol w:w="1085"/>
        <w:gridCol w:w="60"/>
        <w:gridCol w:w="60"/>
        <w:gridCol w:w="60"/>
        <w:gridCol w:w="875"/>
        <w:gridCol w:w="60"/>
        <w:gridCol w:w="60"/>
        <w:gridCol w:w="162"/>
        <w:gridCol w:w="788"/>
        <w:gridCol w:w="60"/>
        <w:gridCol w:w="60"/>
        <w:gridCol w:w="140"/>
        <w:gridCol w:w="680"/>
        <w:gridCol w:w="60"/>
        <w:gridCol w:w="60"/>
        <w:gridCol w:w="149"/>
        <w:gridCol w:w="726"/>
        <w:gridCol w:w="60"/>
        <w:gridCol w:w="60"/>
        <w:gridCol w:w="200"/>
        <w:gridCol w:w="870"/>
        <w:gridCol w:w="290"/>
      </w:tblGrid>
      <w:tr>
        <w:trPr/>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0"/>
              <w:jc w:val="left"/>
              <w:rPr>
                <w:rFonts w:ascii="Times New Roman" w:hAnsi="Times New Roman"/>
                <w:b/>
                <w:sz w:val="13"/>
              </w:rPr>
            </w:pPr>
            <w:r>
              <w:rPr>
                <w:rFonts w:ascii="Times New Roman" w:hAnsi="Times New Roman"/>
                <w:b/>
                <w:sz w:val="13"/>
              </w:rPr>
              <w:t>Portfolio Company (a)(b)</w:t>
            </w:r>
          </w:p>
          <w:p>
            <w:pPr>
              <w:pStyle w:val="TableContents"/>
              <w:bidi w:val="0"/>
              <w:spacing w:before="0" w:after="0"/>
              <w:jc w:val="left"/>
              <w:rPr/>
            </w:pPr>
            <w:r>
              <w:rPr/>
              <w:t> </w:t>
            </w:r>
          </w:p>
          <w:p>
            <w:pPr>
              <w:pStyle w:val="TableContents"/>
              <w:pBdr>
                <w:bottom w:val="single" w:sz="8" w:space="1" w:color="000000"/>
              </w:pBdr>
              <w:bidi w:val="0"/>
              <w:spacing w:before="0" w:after="20"/>
              <w:jc w:val="left"/>
              <w:rPr>
                <w:rFonts w:ascii="Times New Roman" w:hAnsi="Times New Roman"/>
                <w:b/>
                <w:sz w:val="13"/>
              </w:rPr>
            </w:pPr>
            <w:r>
              <w:rPr>
                <w:rFonts w:ascii="Times New Roman" w:hAnsi="Times New Roman"/>
                <w:b/>
                <w:sz w:val="13"/>
              </w:rPr>
              <w:t>Address of Portfolio Company</w:t>
            </w:r>
          </w:p>
        </w:tc>
        <w:tc>
          <w:tcPr>
            <w:tcW w:w="60" w:type="dxa"/>
            <w:tcBorders/>
            <w:vAlign w:val="center"/>
          </w:tcPr>
          <w:p>
            <w:pPr>
              <w:pStyle w:val="TableContents"/>
              <w:bidi w:val="0"/>
              <w:spacing w:before="0" w:after="283"/>
              <w:jc w:val="left"/>
              <w:rPr/>
            </w:pPr>
            <w:r>
              <w:rPr/>
              <w:t> </w:t>
            </w:r>
          </w:p>
        </w:tc>
        <w:tc>
          <w:tcPr>
            <w:tcW w:w="167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Investment Type (c)</w:t>
            </w:r>
          </w:p>
        </w:tc>
        <w:tc>
          <w:tcPr>
            <w:tcW w:w="60" w:type="dxa"/>
            <w:tcBorders/>
            <w:vAlign w:val="center"/>
          </w:tcPr>
          <w:p>
            <w:pPr>
              <w:pStyle w:val="TableContents"/>
              <w:bidi w:val="0"/>
              <w:spacing w:before="0" w:after="283"/>
              <w:jc w:val="left"/>
              <w:rPr/>
            </w:pPr>
            <w:r>
              <w:rPr/>
              <w:t> </w:t>
            </w:r>
          </w:p>
        </w:tc>
        <w:tc>
          <w:tcPr>
            <w:tcW w:w="210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Industry</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 Class</w:t>
              <w:br/>
              <w:t>Held (aw)</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Variable</w:t>
              <w:br/>
              <w:t>Index Spread</w:t>
              <w:br/>
              <w:t>/ Floor (d)</w:t>
            </w:r>
          </w:p>
        </w:tc>
        <w:tc>
          <w:tcPr>
            <w:tcW w:w="60" w:type="dxa"/>
            <w:tcBorders/>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Rate (e)</w:t>
              <w:br/>
              <w:t>Cash/PIK</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Investment</w:t>
              <w:br/>
              <w:t>Date (f)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Maturity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Principal</w:t>
              <w:b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Value (g)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 of</w:t>
              <w:br/>
              <w:t>Net Assets</w:t>
            </w:r>
          </w:p>
        </w:tc>
        <w:tc>
          <w:tcPr>
            <w:tcW w:w="290" w:type="dxa"/>
            <w:tcBorders/>
            <w:vAlign w:val="center"/>
          </w:tcPr>
          <w:p>
            <w:pPr>
              <w:pStyle w:val="TableContents"/>
              <w:bidi w:val="0"/>
              <w:spacing w:before="0" w:after="283"/>
              <w:jc w:val="left"/>
              <w:rPr/>
            </w:pPr>
            <w:r>
              <w:rPr/>
              <w:t> </w:t>
            </w:r>
          </w:p>
        </w:tc>
      </w:tr>
      <w:tr>
        <w:trPr/>
        <w:tc>
          <w:tcPr>
            <w:tcW w:w="800"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Spectra A&amp;D Acquisition, Inc. (fka FDS Avionics Corp.)</w:t>
            </w:r>
          </w:p>
        </w:tc>
        <w:tc>
          <w:tcPr>
            <w:tcW w:w="60"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105" w:type="dxa"/>
            <w:tcBorders/>
            <w:shd w:fill="CCEEFF" w:val="clear"/>
            <w:vAlign w:val="center"/>
          </w:tcPr>
          <w:p>
            <w:pPr>
              <w:pStyle w:val="TableContents"/>
              <w:bidi w:val="0"/>
              <w:spacing w:before="0" w:after="283"/>
              <w:jc w:val="left"/>
              <w:rPr/>
            </w:pPr>
            <w:r>
              <w:rPr/>
              <w:t>Aerospace &amp; Defense Manufacturing</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sz w:val="4"/>
                <w:szCs w:val="4"/>
              </w:rPr>
            </w:pPr>
            <w:r>
              <w:rPr>
                <w:sz w:val="4"/>
                <w:szCs w:val="4"/>
              </w:rPr>
            </w:r>
          </w:p>
        </w:tc>
        <w:tc>
          <w:tcPr>
            <w:tcW w:w="78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sz w:val="4"/>
                <w:szCs w:val="4"/>
              </w:rPr>
            </w:pPr>
            <w:r>
              <w:rPr>
                <w:sz w:val="4"/>
                <w:szCs w:val="4"/>
              </w:rPr>
            </w:r>
          </w:p>
        </w:tc>
        <w:tc>
          <w:tcPr>
            <w:tcW w:w="72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sz w:val="4"/>
                <w:szCs w:val="4"/>
              </w:rPr>
            </w:pPr>
            <w:r>
              <w:rPr>
                <w:sz w:val="4"/>
                <w:szCs w:val="4"/>
              </w:rPr>
            </w:r>
          </w:p>
        </w:tc>
        <w:tc>
          <w:tcPr>
            <w:tcW w:w="870"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6435 Shiloh Road, Suite D</w:t>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First Lien Debt (k)(ag)</w:t>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(S + 6.00%) / (1.00%)</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11.56%/0.00%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2/12/2021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2/11/2026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788" w:type="dxa"/>
            <w:tcBorders/>
            <w:vAlign w:val="center"/>
          </w:tcPr>
          <w:p>
            <w:pPr>
              <w:pStyle w:val="TableContents"/>
              <w:bidi w:val="0"/>
              <w:spacing w:before="0" w:after="283"/>
              <w:jc w:val="right"/>
              <w:rPr/>
            </w:pPr>
            <w:r>
              <w:rPr/>
              <w:t>15,000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14,959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right"/>
              <w:rPr/>
            </w:pPr>
            <w:r>
              <w:rPr/>
              <w:t>13,879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Alpharetta, GA 30005</w:t>
            </w:r>
          </w:p>
        </w:tc>
        <w:tc>
          <w:tcPr>
            <w:tcW w:w="60"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283"/>
              <w:jc w:val="left"/>
              <w:rPr/>
            </w:pPr>
            <w:r>
              <w:rPr/>
              <w:t>Common Equity (12,035 units) (j)</w:t>
            </w:r>
          </w:p>
        </w:tc>
        <w:tc>
          <w:tcPr>
            <w:tcW w:w="60" w:type="dxa"/>
            <w:tcBorders/>
            <w:shd w:fill="CCEEFF" w:val="clear"/>
            <w:vAlign w:val="center"/>
          </w:tcPr>
          <w:p>
            <w:pPr>
              <w:pStyle w:val="TableContents"/>
              <w:bidi w:val="0"/>
              <w:spacing w:before="0" w:after="283"/>
              <w:jc w:val="left"/>
              <w:rPr/>
            </w:pPr>
            <w:r>
              <w:rPr/>
              <w:t> </w:t>
            </w:r>
          </w:p>
        </w:tc>
        <w:tc>
          <w:tcPr>
            <w:tcW w:w="21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1.54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8/25/2021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sz w:val="4"/>
                <w:szCs w:val="4"/>
              </w:rPr>
            </w:pPr>
            <w:r>
              <w:rPr>
                <w:sz w:val="4"/>
                <w:szCs w:val="4"/>
              </w:rPr>
            </w:r>
          </w:p>
        </w:tc>
        <w:tc>
          <w:tcPr>
            <w:tcW w:w="78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sz w:val="4"/>
                <w:szCs w:val="4"/>
              </w:rPr>
            </w:pPr>
            <w:r>
              <w:rPr>
                <w:sz w:val="4"/>
                <w:szCs w:val="4"/>
              </w:rPr>
            </w:r>
          </w:p>
        </w:tc>
        <w:tc>
          <w:tcPr>
            <w:tcW w:w="870"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Common Equity (38,493 units) (j)</w:t>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4.80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12/16/2022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2,609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283"/>
              <w:jc w:val="left"/>
              <w:rPr/>
            </w:pPr>
            <w:r>
              <w:rPr/>
              <w:t>Common Equity (6,783 units) (j)</w:t>
            </w:r>
          </w:p>
        </w:tc>
        <w:tc>
          <w:tcPr>
            <w:tcW w:w="60" w:type="dxa"/>
            <w:tcBorders/>
            <w:shd w:fill="CCEEFF" w:val="clear"/>
            <w:vAlign w:val="center"/>
          </w:tcPr>
          <w:p>
            <w:pPr>
              <w:pStyle w:val="TableContents"/>
              <w:bidi w:val="0"/>
              <w:spacing w:before="0" w:after="283"/>
              <w:jc w:val="left"/>
              <w:rPr/>
            </w:pPr>
            <w:r>
              <w:rPr/>
              <w:t> </w:t>
            </w:r>
          </w:p>
        </w:tc>
        <w:tc>
          <w:tcPr>
            <w:tcW w:w="21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0.80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7/10/2023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sz w:val="4"/>
                <w:szCs w:val="4"/>
              </w:rPr>
            </w:pPr>
            <w:r>
              <w:rPr>
                <w:sz w:val="4"/>
                <w:szCs w:val="4"/>
              </w:rPr>
            </w:r>
          </w:p>
        </w:tc>
        <w:tc>
          <w:tcPr>
            <w:tcW w:w="78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sz w:val="4"/>
                <w:szCs w:val="4"/>
              </w:rPr>
            </w:pPr>
            <w:r>
              <w:rPr>
                <w:sz w:val="4"/>
                <w:szCs w:val="4"/>
              </w:rPr>
            </w:r>
          </w:p>
        </w:tc>
        <w:tc>
          <w:tcPr>
            <w:tcW w:w="870"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Common Equity (4,663 units) (j)</w:t>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0.61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9/16/2022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472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1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sz w:val="4"/>
                <w:szCs w:val="4"/>
              </w:rPr>
            </w:pPr>
            <w:r>
              <w:rPr>
                <w:sz w:val="4"/>
                <w:szCs w:val="4"/>
              </w:rPr>
            </w:r>
          </w:p>
        </w:tc>
        <w:tc>
          <w:tcPr>
            <w:tcW w:w="78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19,930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13,879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2</w:t>
            </w:r>
          </w:p>
        </w:tc>
        <w:tc>
          <w:tcPr>
            <w:tcW w:w="290" w:type="dxa"/>
            <w:tcBorders/>
            <w:shd w:fill="CCEEFF" w:val="clear"/>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sz w:val="4"/>
                <w:szCs w:val="4"/>
              </w:rPr>
            </w:pPr>
            <w:r>
              <w:rPr>
                <w:sz w:val="4"/>
                <w:szCs w:val="4"/>
              </w:rPr>
            </w:r>
          </w:p>
        </w:tc>
        <w:tc>
          <w:tcPr>
            <w:tcW w:w="1730" w:type="dxa"/>
            <w:gridSpan w:val="2"/>
            <w:tcBorders/>
            <w:vAlign w:val="center"/>
          </w:tcPr>
          <w:p>
            <w:pPr>
              <w:pStyle w:val="TableContents"/>
              <w:bidi w:val="0"/>
              <w:spacing w:before="0" w:after="283"/>
              <w:jc w:val="left"/>
              <w:rPr>
                <w:sz w:val="4"/>
                <w:szCs w:val="4"/>
              </w:rPr>
            </w:pPr>
            <w:r>
              <w:rPr>
                <w:sz w:val="4"/>
                <w:szCs w:val="4"/>
              </w:rPr>
            </w:r>
          </w:p>
        </w:tc>
        <w:tc>
          <w:tcPr>
            <w:tcW w:w="216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1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94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Steward Holding LLC (dba Steward Advanced Materials)</w:t>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pPr>
            <w:r>
              <w:rPr/>
              <w:t>Aerospace &amp; Defense Manufacturing</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1245 E 38th St.</w:t>
            </w:r>
          </w:p>
        </w:tc>
        <w:tc>
          <w:tcPr>
            <w:tcW w:w="60"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283"/>
              <w:jc w:val="left"/>
              <w:rPr/>
            </w:pPr>
            <w:r>
              <w:rPr/>
              <w:t>Common Equity (1,000,000 units)</w:t>
            </w:r>
          </w:p>
        </w:tc>
        <w:tc>
          <w:tcPr>
            <w:tcW w:w="60" w:type="dxa"/>
            <w:tcBorders/>
            <w:shd w:fill="CCEEFF" w:val="clear"/>
            <w:vAlign w:val="center"/>
          </w:tcPr>
          <w:p>
            <w:pPr>
              <w:pStyle w:val="TableContents"/>
              <w:bidi w:val="0"/>
              <w:spacing w:before="0" w:after="283"/>
              <w:jc w:val="left"/>
              <w:rPr/>
            </w:pPr>
            <w:r>
              <w:rPr/>
              <w:t> </w:t>
            </w:r>
          </w:p>
        </w:tc>
        <w:tc>
          <w:tcPr>
            <w:tcW w:w="21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5.80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11/12/2015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sz w:val="4"/>
                <w:szCs w:val="4"/>
              </w:rPr>
            </w:pPr>
            <w:r>
              <w:rPr>
                <w:sz w:val="4"/>
                <w:szCs w:val="4"/>
              </w:rPr>
            </w:r>
          </w:p>
        </w:tc>
        <w:tc>
          <w:tcPr>
            <w:tcW w:w="78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4,405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1</w:t>
            </w:r>
          </w:p>
        </w:tc>
        <w:tc>
          <w:tcPr>
            <w:tcW w:w="290" w:type="dxa"/>
            <w:tcBorders/>
            <w:shd w:fill="CCEEFF" w:val="clear"/>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Chattanooga, TN 37407</w:t>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pBdr>
                <w:top w:val="single" w:sz="2" w:space="1" w:color="000000"/>
              </w:pBdr>
              <w:bidi w:val="0"/>
              <w:spacing w:before="0" w:after="0"/>
              <w:jc w:val="left"/>
              <w:rPr/>
            </w:pPr>
            <w:r>
              <w:rPr/>
              <w:t> </w:t>
            </w:r>
          </w:p>
        </w:tc>
        <w:tc>
          <w:tcPr>
            <w:tcW w:w="726"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shd w:fill="CCEEFF" w:val="clear"/>
            <w:vAlign w:val="center"/>
          </w:tcPr>
          <w:p>
            <w:pPr>
              <w:pStyle w:val="TableContents"/>
              <w:bidi w:val="0"/>
              <w:spacing w:before="0" w:after="0"/>
              <w:jc w:val="left"/>
              <w:rPr>
                <w:rFonts w:ascii="Times New Roman" w:hAnsi="Times New Roman"/>
                <w:b/>
                <w:sz w:val="14"/>
              </w:rPr>
            </w:pPr>
            <w:r>
              <w:rPr>
                <w:rFonts w:ascii="Times New Roman" w:hAnsi="Times New Roman"/>
                <w:b/>
                <w:sz w:val="14"/>
              </w:rPr>
              <w:t>Total Affiliate Investments</w:t>
            </w:r>
          </w:p>
        </w:tc>
        <w:tc>
          <w:tcPr>
            <w:tcW w:w="60"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1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sz w:val="4"/>
                <w:szCs w:val="4"/>
              </w:rPr>
            </w:pPr>
            <w:r>
              <w:rPr>
                <w:sz w:val="4"/>
                <w:szCs w:val="4"/>
              </w:rPr>
            </w:r>
          </w:p>
        </w:tc>
        <w:tc>
          <w:tcPr>
            <w:tcW w:w="78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46,161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726" w:type="dxa"/>
            <w:tcBorders/>
            <w:shd w:fill="CCEEFF" w:val="clear"/>
            <w:vAlign w:val="center"/>
          </w:tcPr>
          <w:p>
            <w:pPr>
              <w:pStyle w:val="TableContents"/>
              <w:bidi w:val="0"/>
              <w:spacing w:before="0" w:after="283"/>
              <w:jc w:val="right"/>
              <w:rPr/>
            </w:pPr>
            <w:r>
              <w:rPr/>
              <w:t>80,316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13</w:t>
            </w:r>
          </w:p>
        </w:tc>
        <w:tc>
          <w:tcPr>
            <w:tcW w:w="290" w:type="dxa"/>
            <w:tcBorders/>
            <w:shd w:fill="CCEEFF" w:val="clear"/>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68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pBdr>
                <w:top w:val="double" w:sz="6" w:space="1" w:color="000000"/>
              </w:pBdr>
              <w:bidi w:val="0"/>
              <w:spacing w:before="0" w:after="0"/>
              <w:jc w:val="left"/>
              <w:rPr/>
            </w:pPr>
            <w:r>
              <w:rPr/>
              <w:t> </w:t>
            </w:r>
          </w:p>
        </w:tc>
        <w:tc>
          <w:tcPr>
            <w:tcW w:w="726"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0"/>
              <w:jc w:val="left"/>
              <w:rPr>
                <w:rFonts w:ascii="Times New Roman" w:hAnsi="Times New Roman"/>
                <w:b/>
                <w:sz w:val="14"/>
              </w:rPr>
            </w:pPr>
            <w:r>
              <w:rPr>
                <w:rFonts w:ascii="Times New Roman" w:hAnsi="Times New Roman"/>
                <w:b/>
                <w:sz w:val="14"/>
              </w:rPr>
              <w:t>Non-control/Non-affiliate Investments</w:t>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283"/>
              <w:jc w:val="left"/>
              <w:rPr>
                <w:sz w:val="4"/>
                <w:szCs w:val="4"/>
              </w:rPr>
            </w:pPr>
            <w:r>
              <w:rPr>
                <w:sz w:val="4"/>
                <w:szCs w:val="4"/>
              </w:rPr>
            </w:r>
          </w:p>
        </w:tc>
        <w:tc>
          <w:tcPr>
            <w:tcW w:w="1730" w:type="dxa"/>
            <w:gridSpan w:val="2"/>
            <w:tcBorders/>
            <w:vAlign w:val="center"/>
          </w:tcPr>
          <w:p>
            <w:pPr>
              <w:pStyle w:val="TableContents"/>
              <w:bidi w:val="0"/>
              <w:spacing w:before="0" w:after="283"/>
              <w:jc w:val="left"/>
              <w:rPr>
                <w:sz w:val="4"/>
                <w:szCs w:val="4"/>
              </w:rPr>
            </w:pPr>
            <w:r>
              <w:rPr>
                <w:sz w:val="4"/>
                <w:szCs w:val="4"/>
              </w:rPr>
            </w:r>
          </w:p>
        </w:tc>
        <w:tc>
          <w:tcPr>
            <w:tcW w:w="216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1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94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00"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2KDirect, Inc. (dba iPromote)</w:t>
            </w:r>
          </w:p>
        </w:tc>
        <w:tc>
          <w:tcPr>
            <w:tcW w:w="60"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105" w:type="dxa"/>
            <w:tcBorders/>
            <w:shd w:fill="CCEEFF" w:val="clear"/>
            <w:vAlign w:val="center"/>
          </w:tcPr>
          <w:p>
            <w:pPr>
              <w:pStyle w:val="TableContents"/>
              <w:bidi w:val="0"/>
              <w:spacing w:before="0" w:after="283"/>
              <w:jc w:val="left"/>
              <w:rPr/>
            </w:pPr>
            <w:r>
              <w:rPr/>
              <w:t>Information Technology Services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sz w:val="4"/>
                <w:szCs w:val="4"/>
              </w:rPr>
            </w:pPr>
            <w:r>
              <w:rPr>
                <w:sz w:val="4"/>
                <w:szCs w:val="4"/>
              </w:rPr>
            </w:r>
          </w:p>
        </w:tc>
        <w:tc>
          <w:tcPr>
            <w:tcW w:w="78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sz w:val="4"/>
                <w:szCs w:val="4"/>
              </w:rPr>
            </w:pPr>
            <w:r>
              <w:rPr>
                <w:sz w:val="4"/>
                <w:szCs w:val="4"/>
              </w:rPr>
            </w:r>
          </w:p>
        </w:tc>
        <w:tc>
          <w:tcPr>
            <w:tcW w:w="72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sz w:val="4"/>
                <w:szCs w:val="4"/>
              </w:rPr>
            </w:pPr>
            <w:r>
              <w:rPr>
                <w:sz w:val="4"/>
                <w:szCs w:val="4"/>
              </w:rPr>
            </w:r>
          </w:p>
        </w:tc>
        <w:tc>
          <w:tcPr>
            <w:tcW w:w="870"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3000 Broad St; Suite 115</w:t>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First Lien Debt (k)(at)</w:t>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(S + 6.75%) / (0.50%)</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12.23%/0.00%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6/25/2021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6/25/2026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w:t>
            </w:r>
          </w:p>
        </w:tc>
        <w:tc>
          <w:tcPr>
            <w:tcW w:w="788" w:type="dxa"/>
            <w:tcBorders/>
            <w:vAlign w:val="center"/>
          </w:tcPr>
          <w:p>
            <w:pPr>
              <w:pStyle w:val="TableContents"/>
              <w:bidi w:val="0"/>
              <w:spacing w:before="0" w:after="283"/>
              <w:jc w:val="right"/>
              <w:rPr/>
            </w:pPr>
            <w:r>
              <w:rPr/>
              <w:t>10,594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10,555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w:t>
            </w:r>
          </w:p>
        </w:tc>
        <w:tc>
          <w:tcPr>
            <w:tcW w:w="726" w:type="dxa"/>
            <w:tcBorders/>
            <w:vAlign w:val="center"/>
          </w:tcPr>
          <w:p>
            <w:pPr>
              <w:pStyle w:val="TableContents"/>
              <w:bidi w:val="0"/>
              <w:spacing w:before="0" w:after="283"/>
              <w:jc w:val="right"/>
              <w:rPr/>
            </w:pPr>
            <w:r>
              <w:rPr/>
              <w:t>10,594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San Luis Obispo, CA 93401</w:t>
            </w:r>
          </w:p>
        </w:tc>
        <w:tc>
          <w:tcPr>
            <w:tcW w:w="60"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283"/>
              <w:jc w:val="left"/>
              <w:rPr/>
            </w:pPr>
            <w:r>
              <w:rPr/>
              <w:t>First Lien Debt (j)(aa)</w:t>
            </w:r>
          </w:p>
        </w:tc>
        <w:tc>
          <w:tcPr>
            <w:tcW w:w="60" w:type="dxa"/>
            <w:tcBorders/>
            <w:shd w:fill="CCEEFF" w:val="clear"/>
            <w:vAlign w:val="center"/>
          </w:tcPr>
          <w:p>
            <w:pPr>
              <w:pStyle w:val="TableContents"/>
              <w:bidi w:val="0"/>
              <w:spacing w:before="0" w:after="283"/>
              <w:jc w:val="left"/>
              <w:rPr/>
            </w:pPr>
            <w:r>
              <w:rPr/>
              <w:t> </w:t>
            </w:r>
          </w:p>
        </w:tc>
        <w:tc>
          <w:tcPr>
            <w:tcW w:w="21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pPr>
            <w:r>
              <w:rPr/>
              <w:t>(S + 6.75%) / (0.50%)</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8.98%/0.00%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7/30/2021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6/25/2026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pPr>
            <w:r>
              <w:rPr/>
              <w:t>3,260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3,260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3,260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sz w:val="4"/>
                <w:szCs w:val="4"/>
              </w:rPr>
            </w:pPr>
            <w:r>
              <w:rPr>
                <w:sz w:val="4"/>
                <w:szCs w:val="4"/>
              </w:rPr>
            </w:r>
          </w:p>
        </w:tc>
        <w:tc>
          <w:tcPr>
            <w:tcW w:w="870"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Common Equity (1,000,000 units)</w:t>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3.86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6/25/2021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right"/>
              <w:rPr/>
            </w:pPr>
            <w:r>
              <w:rPr/>
              <w:t>523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pBdr>
                <w:top w:val="single" w:sz="2" w:space="1" w:color="000000"/>
              </w:pBdr>
              <w:bidi w:val="0"/>
              <w:spacing w:before="0" w:after="0"/>
              <w:jc w:val="left"/>
              <w:rPr/>
            </w:pPr>
            <w:r>
              <w:rPr/>
              <w:t> </w:t>
            </w:r>
          </w:p>
        </w:tc>
        <w:tc>
          <w:tcPr>
            <w:tcW w:w="726"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1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sz w:val="4"/>
                <w:szCs w:val="4"/>
              </w:rPr>
            </w:pPr>
            <w:r>
              <w:rPr>
                <w:sz w:val="4"/>
                <w:szCs w:val="4"/>
              </w:rPr>
            </w:r>
          </w:p>
        </w:tc>
        <w:tc>
          <w:tcPr>
            <w:tcW w:w="78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14,815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14,377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2</w:t>
            </w:r>
          </w:p>
        </w:tc>
        <w:tc>
          <w:tcPr>
            <w:tcW w:w="290" w:type="dxa"/>
            <w:tcBorders/>
            <w:shd w:fill="CCEEFF" w:val="clear"/>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sz w:val="4"/>
                <w:szCs w:val="4"/>
              </w:rPr>
            </w:pPr>
            <w:r>
              <w:rPr>
                <w:sz w:val="4"/>
                <w:szCs w:val="4"/>
              </w:rPr>
            </w:r>
          </w:p>
        </w:tc>
        <w:tc>
          <w:tcPr>
            <w:tcW w:w="1730" w:type="dxa"/>
            <w:gridSpan w:val="2"/>
            <w:tcBorders/>
            <w:vAlign w:val="center"/>
          </w:tcPr>
          <w:p>
            <w:pPr>
              <w:pStyle w:val="TableContents"/>
              <w:bidi w:val="0"/>
              <w:spacing w:before="0" w:after="283"/>
              <w:jc w:val="left"/>
              <w:rPr>
                <w:sz w:val="4"/>
                <w:szCs w:val="4"/>
              </w:rPr>
            </w:pPr>
            <w:r>
              <w:rPr>
                <w:sz w:val="4"/>
                <w:szCs w:val="4"/>
              </w:rPr>
            </w:r>
          </w:p>
        </w:tc>
        <w:tc>
          <w:tcPr>
            <w:tcW w:w="216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1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94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301 Edison Holdings Inc. (dba LGG Industrial)</w:t>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pPr>
            <w:r>
              <w:rPr/>
              <w:t>Specialty Distribution</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650 Washington Road, Suite 500</w:t>
            </w:r>
          </w:p>
        </w:tc>
        <w:tc>
          <w:tcPr>
            <w:tcW w:w="60"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283"/>
              <w:jc w:val="left"/>
              <w:rPr/>
            </w:pPr>
            <w:r>
              <w:rPr/>
              <w:t>First Lien Debt (j)</w:t>
            </w:r>
          </w:p>
        </w:tc>
        <w:tc>
          <w:tcPr>
            <w:tcW w:w="60" w:type="dxa"/>
            <w:tcBorders/>
            <w:shd w:fill="CCEEFF" w:val="clear"/>
            <w:vAlign w:val="center"/>
          </w:tcPr>
          <w:p>
            <w:pPr>
              <w:pStyle w:val="TableContents"/>
              <w:bidi w:val="0"/>
              <w:spacing w:before="0" w:after="283"/>
              <w:jc w:val="left"/>
              <w:rPr/>
            </w:pPr>
            <w:r>
              <w:rPr/>
              <w:t> </w:t>
            </w:r>
          </w:p>
        </w:tc>
        <w:tc>
          <w:tcPr>
            <w:tcW w:w="21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11.75%/1.50%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11/14/2023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11/13/2028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pPr>
            <w:r>
              <w:rPr/>
              <w:t>12,372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12,222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12,222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sz w:val="4"/>
                <w:szCs w:val="4"/>
              </w:rPr>
            </w:pPr>
            <w:r>
              <w:rPr>
                <w:sz w:val="4"/>
                <w:szCs w:val="4"/>
              </w:rPr>
            </w:r>
          </w:p>
        </w:tc>
        <w:tc>
          <w:tcPr>
            <w:tcW w:w="870"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Pittsburgh, PA 15228</w:t>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Preferred Equity (519,244 units) (j)</w:t>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0.55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11/14/2023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right"/>
              <w:rPr/>
            </w:pPr>
            <w:r>
              <w:rPr/>
              <w:t>1,000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pBdr>
                <w:top w:val="single" w:sz="2" w:space="1" w:color="000000"/>
              </w:pBdr>
              <w:bidi w:val="0"/>
              <w:spacing w:before="0" w:after="0"/>
              <w:jc w:val="left"/>
              <w:rPr/>
            </w:pPr>
            <w:r>
              <w:rPr/>
              <w:t> </w:t>
            </w:r>
          </w:p>
        </w:tc>
        <w:tc>
          <w:tcPr>
            <w:tcW w:w="726"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1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sz w:val="4"/>
                <w:szCs w:val="4"/>
              </w:rPr>
            </w:pPr>
            <w:r>
              <w:rPr>
                <w:sz w:val="4"/>
                <w:szCs w:val="4"/>
              </w:rPr>
            </w:r>
          </w:p>
        </w:tc>
        <w:tc>
          <w:tcPr>
            <w:tcW w:w="78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13,222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13,222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2</w:t>
            </w:r>
          </w:p>
        </w:tc>
        <w:tc>
          <w:tcPr>
            <w:tcW w:w="290" w:type="dxa"/>
            <w:tcBorders/>
            <w:shd w:fill="CCEEFF" w:val="clear"/>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sz w:val="4"/>
                <w:szCs w:val="4"/>
              </w:rPr>
            </w:pPr>
            <w:r>
              <w:rPr>
                <w:sz w:val="4"/>
                <w:szCs w:val="4"/>
              </w:rPr>
            </w:r>
          </w:p>
        </w:tc>
        <w:tc>
          <w:tcPr>
            <w:tcW w:w="1730" w:type="dxa"/>
            <w:gridSpan w:val="2"/>
            <w:tcBorders/>
            <w:vAlign w:val="center"/>
          </w:tcPr>
          <w:p>
            <w:pPr>
              <w:pStyle w:val="TableContents"/>
              <w:bidi w:val="0"/>
              <w:spacing w:before="0" w:after="283"/>
              <w:jc w:val="left"/>
              <w:rPr>
                <w:sz w:val="4"/>
                <w:szCs w:val="4"/>
              </w:rPr>
            </w:pPr>
            <w:r>
              <w:rPr>
                <w:sz w:val="4"/>
                <w:szCs w:val="4"/>
              </w:rPr>
            </w:r>
          </w:p>
        </w:tc>
        <w:tc>
          <w:tcPr>
            <w:tcW w:w="216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1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94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Acendre Midco, Inc.</w:t>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pPr>
            <w:r>
              <w:rPr/>
              <w:t>Information Technology Services</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4350 N Fairfax Drive, Suite 830</w:t>
            </w:r>
          </w:p>
        </w:tc>
        <w:tc>
          <w:tcPr>
            <w:tcW w:w="60"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283"/>
              <w:jc w:val="left"/>
              <w:rPr/>
            </w:pPr>
            <w:r>
              <w:rPr/>
              <w:t>First Lien Debt (j)</w:t>
            </w:r>
          </w:p>
        </w:tc>
        <w:tc>
          <w:tcPr>
            <w:tcW w:w="60" w:type="dxa"/>
            <w:tcBorders/>
            <w:shd w:fill="CCEEFF" w:val="clear"/>
            <w:vAlign w:val="center"/>
          </w:tcPr>
          <w:p>
            <w:pPr>
              <w:pStyle w:val="TableContents"/>
              <w:bidi w:val="0"/>
              <w:spacing w:before="0" w:after="283"/>
              <w:jc w:val="left"/>
              <w:rPr/>
            </w:pPr>
            <w:r>
              <w:rPr/>
              <w:t> </w:t>
            </w:r>
          </w:p>
        </w:tc>
        <w:tc>
          <w:tcPr>
            <w:tcW w:w="21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pPr>
            <w:r>
              <w:rPr/>
              <w:t>(S + 7.75%) / (0.50%)</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13.34%/0.00%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10/6/2021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10/6/2026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pPr>
            <w:r>
              <w:rPr/>
              <w:t>5,445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5,437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5,445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sz w:val="4"/>
                <w:szCs w:val="4"/>
              </w:rPr>
            </w:pPr>
            <w:r>
              <w:rPr>
                <w:sz w:val="4"/>
                <w:szCs w:val="4"/>
              </w:rPr>
            </w:r>
          </w:p>
        </w:tc>
        <w:tc>
          <w:tcPr>
            <w:tcW w:w="870"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Arlington, VA 22203</w:t>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First Lien Debt (j)</w:t>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(S + 7.75%) / (0.50%)</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13.34%/0.00%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10/6/2021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10/6/2026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788" w:type="dxa"/>
            <w:tcBorders/>
            <w:vAlign w:val="center"/>
          </w:tcPr>
          <w:p>
            <w:pPr>
              <w:pStyle w:val="TableContents"/>
              <w:bidi w:val="0"/>
              <w:spacing w:before="0" w:after="283"/>
              <w:jc w:val="right"/>
              <w:rPr/>
            </w:pPr>
            <w:r>
              <w:rPr/>
              <w:t>12,375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12,341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right"/>
              <w:rPr/>
            </w:pPr>
            <w:r>
              <w:rPr/>
              <w:t>12,375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283"/>
              <w:jc w:val="left"/>
              <w:rPr/>
            </w:pPr>
            <w:r>
              <w:rPr/>
              <w:t>Revolving Loan (j)</w:t>
            </w:r>
          </w:p>
        </w:tc>
        <w:tc>
          <w:tcPr>
            <w:tcW w:w="60" w:type="dxa"/>
            <w:tcBorders/>
            <w:shd w:fill="CCEEFF" w:val="clear"/>
            <w:vAlign w:val="center"/>
          </w:tcPr>
          <w:p>
            <w:pPr>
              <w:pStyle w:val="TableContents"/>
              <w:bidi w:val="0"/>
              <w:spacing w:before="0" w:after="283"/>
              <w:jc w:val="left"/>
              <w:rPr/>
            </w:pPr>
            <w:r>
              <w:rPr/>
              <w:t> </w:t>
            </w:r>
          </w:p>
        </w:tc>
        <w:tc>
          <w:tcPr>
            <w:tcW w:w="21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pPr>
            <w:r>
              <w:rPr/>
              <w:t>(S + 7.75%) / (0.50%)</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13.34%/0.00%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10/6/2021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10/6/2026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pPr>
            <w:r>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sz w:val="4"/>
                <w:szCs w:val="4"/>
              </w:rPr>
            </w:pPr>
            <w:r>
              <w:rPr>
                <w:sz w:val="4"/>
                <w:szCs w:val="4"/>
              </w:rPr>
            </w:r>
          </w:p>
        </w:tc>
        <w:tc>
          <w:tcPr>
            <w:tcW w:w="870"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Common Equity (500,000 shares) (j)</w:t>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0.78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10/6/2021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371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right"/>
              <w:rPr/>
            </w:pPr>
            <w:r>
              <w:rPr/>
              <w:t>469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283"/>
              <w:jc w:val="left"/>
              <w:rPr/>
            </w:pPr>
            <w:r>
              <w:rPr/>
              <w:t>Warrant (150,000 shares) (j)(m)</w:t>
            </w:r>
          </w:p>
        </w:tc>
        <w:tc>
          <w:tcPr>
            <w:tcW w:w="60" w:type="dxa"/>
            <w:tcBorders/>
            <w:shd w:fill="CCEEFF" w:val="clear"/>
            <w:vAlign w:val="center"/>
          </w:tcPr>
          <w:p>
            <w:pPr>
              <w:pStyle w:val="TableContents"/>
              <w:bidi w:val="0"/>
              <w:spacing w:before="0" w:after="283"/>
              <w:jc w:val="left"/>
              <w:rPr/>
            </w:pPr>
            <w:r>
              <w:rPr/>
              <w:t> </w:t>
            </w:r>
          </w:p>
        </w:tc>
        <w:tc>
          <w:tcPr>
            <w:tcW w:w="21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0.2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10/6/2021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sz w:val="4"/>
                <w:szCs w:val="4"/>
              </w:rPr>
            </w:pPr>
            <w:r>
              <w:rPr>
                <w:sz w:val="4"/>
                <w:szCs w:val="4"/>
              </w:rPr>
            </w:r>
          </w:p>
        </w:tc>
        <w:tc>
          <w:tcPr>
            <w:tcW w:w="78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141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sz w:val="4"/>
                <w:szCs w:val="4"/>
              </w:rPr>
            </w:pPr>
            <w:r>
              <w:rPr>
                <w:sz w:val="4"/>
                <w:szCs w:val="4"/>
              </w:rPr>
            </w:r>
          </w:p>
        </w:tc>
        <w:tc>
          <w:tcPr>
            <w:tcW w:w="870"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Preferred Equity (77,016 shares) (j)</w:t>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9/26/2022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88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right"/>
              <w:rPr/>
            </w:pPr>
            <w:r>
              <w:rPr/>
              <w:t>143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pBdr>
                <w:top w:val="single" w:sz="2" w:space="1" w:color="000000"/>
              </w:pBdr>
              <w:bidi w:val="0"/>
              <w:spacing w:before="0" w:after="0"/>
              <w:jc w:val="left"/>
              <w:rPr/>
            </w:pPr>
            <w:r>
              <w:rPr/>
              <w:t> </w:t>
            </w:r>
          </w:p>
        </w:tc>
        <w:tc>
          <w:tcPr>
            <w:tcW w:w="726"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1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sz w:val="4"/>
                <w:szCs w:val="4"/>
              </w:rPr>
            </w:pPr>
            <w:r>
              <w:rPr>
                <w:sz w:val="4"/>
                <w:szCs w:val="4"/>
              </w:rPr>
            </w:r>
          </w:p>
        </w:tc>
        <w:tc>
          <w:tcPr>
            <w:tcW w:w="78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19,366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19,573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3</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bidi w:val="0"/>
        <w:jc w:val="left"/>
        <w:rPr/>
      </w:pPr>
      <w:r>
        <w:rPr/>
      </w:r>
    </w:p>
    <w:tbl>
      <w:tblPr>
        <w:tblW w:w="14745" w:type="dxa"/>
        <w:jc w:val="left"/>
        <w:tblInd w:w="0" w:type="dxa"/>
        <w:tblLayout w:type="fixed"/>
        <w:tblCellMar>
          <w:top w:w="0" w:type="dxa"/>
          <w:left w:w="0" w:type="dxa"/>
          <w:bottom w:w="0" w:type="dxa"/>
          <w:right w:w="0" w:type="dxa"/>
        </w:tblCellMar>
      </w:tblPr>
      <w:tblGrid>
        <w:gridCol w:w="830"/>
        <w:gridCol w:w="60"/>
        <w:gridCol w:w="1835"/>
        <w:gridCol w:w="60"/>
        <w:gridCol w:w="2015"/>
        <w:gridCol w:w="60"/>
        <w:gridCol w:w="137"/>
        <w:gridCol w:w="1008"/>
        <w:gridCol w:w="275"/>
        <w:gridCol w:w="60"/>
        <w:gridCol w:w="830"/>
        <w:gridCol w:w="60"/>
        <w:gridCol w:w="755"/>
        <w:gridCol w:w="60"/>
        <w:gridCol w:w="60"/>
        <w:gridCol w:w="1085"/>
        <w:gridCol w:w="60"/>
        <w:gridCol w:w="60"/>
        <w:gridCol w:w="60"/>
        <w:gridCol w:w="875"/>
        <w:gridCol w:w="60"/>
        <w:gridCol w:w="60"/>
        <w:gridCol w:w="77"/>
        <w:gridCol w:w="873"/>
        <w:gridCol w:w="60"/>
        <w:gridCol w:w="60"/>
        <w:gridCol w:w="60"/>
        <w:gridCol w:w="680"/>
        <w:gridCol w:w="155"/>
        <w:gridCol w:w="60"/>
        <w:gridCol w:w="70"/>
        <w:gridCol w:w="805"/>
        <w:gridCol w:w="60"/>
        <w:gridCol w:w="60"/>
        <w:gridCol w:w="321"/>
        <w:gridCol w:w="749"/>
        <w:gridCol w:w="290"/>
      </w:tblGrid>
      <w:tr>
        <w:trPr/>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0"/>
              <w:jc w:val="left"/>
              <w:rPr>
                <w:rFonts w:ascii="Times New Roman" w:hAnsi="Times New Roman"/>
                <w:b/>
                <w:sz w:val="13"/>
              </w:rPr>
            </w:pPr>
            <w:r>
              <w:rPr>
                <w:rFonts w:ascii="Times New Roman" w:hAnsi="Times New Roman"/>
                <w:b/>
                <w:sz w:val="13"/>
              </w:rPr>
              <w:t>Portfolio Company (a)(b)</w:t>
            </w:r>
          </w:p>
          <w:p>
            <w:pPr>
              <w:pStyle w:val="TableContents"/>
              <w:bidi w:val="0"/>
              <w:spacing w:before="0" w:after="0"/>
              <w:jc w:val="left"/>
              <w:rPr/>
            </w:pPr>
            <w:r>
              <w:rPr/>
              <w:t> </w:t>
            </w:r>
          </w:p>
          <w:p>
            <w:pPr>
              <w:pStyle w:val="TableContents"/>
              <w:pBdr>
                <w:bottom w:val="single" w:sz="8" w:space="1" w:color="000000"/>
              </w:pBdr>
              <w:bidi w:val="0"/>
              <w:spacing w:before="0" w:after="20"/>
              <w:jc w:val="left"/>
              <w:rPr>
                <w:rFonts w:ascii="Times New Roman" w:hAnsi="Times New Roman"/>
                <w:b/>
                <w:sz w:val="13"/>
              </w:rPr>
            </w:pPr>
            <w:r>
              <w:rPr>
                <w:rFonts w:ascii="Times New Roman" w:hAnsi="Times New Roman"/>
                <w:b/>
                <w:sz w:val="13"/>
              </w:rPr>
              <w:t>Address of Portfolio Company</w:t>
            </w:r>
          </w:p>
        </w:tc>
        <w:tc>
          <w:tcPr>
            <w:tcW w:w="60" w:type="dxa"/>
            <w:tcBorders/>
            <w:vAlign w:val="center"/>
          </w:tcPr>
          <w:p>
            <w:pPr>
              <w:pStyle w:val="TableContents"/>
              <w:bidi w:val="0"/>
              <w:spacing w:before="0" w:after="283"/>
              <w:jc w:val="left"/>
              <w:rPr/>
            </w:pPr>
            <w:r>
              <w:rPr/>
              <w:t> </w:t>
            </w:r>
          </w:p>
        </w:tc>
        <w:tc>
          <w:tcPr>
            <w:tcW w:w="183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Investment Type (c)</w:t>
            </w:r>
          </w:p>
        </w:tc>
        <w:tc>
          <w:tcPr>
            <w:tcW w:w="60" w:type="dxa"/>
            <w:tcBorders/>
            <w:vAlign w:val="center"/>
          </w:tcPr>
          <w:p>
            <w:pPr>
              <w:pStyle w:val="TableContents"/>
              <w:bidi w:val="0"/>
              <w:spacing w:before="0" w:after="283"/>
              <w:jc w:val="left"/>
              <w:rPr/>
            </w:pPr>
            <w:r>
              <w:rPr/>
              <w:t> </w:t>
            </w:r>
          </w:p>
        </w:tc>
        <w:tc>
          <w:tcPr>
            <w:tcW w:w="20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Industry</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 Class</w:t>
              <w:br/>
              <w:t>Held (aw)</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Variable</w:t>
              <w:br/>
              <w:t>Index Spread</w:t>
              <w:br/>
              <w:t>/ Floor (d)</w:t>
            </w:r>
          </w:p>
        </w:tc>
        <w:tc>
          <w:tcPr>
            <w:tcW w:w="60" w:type="dxa"/>
            <w:tcBorders/>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Rate (e)</w:t>
              <w:br/>
              <w:t>Cash/PIK</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Investment</w:t>
              <w:br/>
              <w:t>Date (f)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Maturity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Principal</w:t>
              <w:b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Cost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Value (g)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 of</w:t>
              <w:br/>
              <w:t>Net Assets</w:t>
            </w:r>
          </w:p>
        </w:tc>
        <w:tc>
          <w:tcPr>
            <w:tcW w:w="290" w:type="dxa"/>
            <w:tcBorders/>
            <w:vAlign w:val="center"/>
          </w:tcPr>
          <w:p>
            <w:pPr>
              <w:pStyle w:val="TableContents"/>
              <w:bidi w:val="0"/>
              <w:spacing w:before="0" w:after="283"/>
              <w:jc w:val="left"/>
              <w:rPr/>
            </w:pPr>
            <w:r>
              <w:rPr/>
              <w:t> </w:t>
            </w:r>
          </w:p>
        </w:tc>
      </w:tr>
      <w:tr>
        <w:trPr/>
        <w:tc>
          <w:tcPr>
            <w:tcW w:w="830"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Ad Info Parent, Inc. (dba MediaRadar)</w:t>
            </w:r>
          </w:p>
        </w:tc>
        <w:tc>
          <w:tcPr>
            <w:tcW w:w="6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15" w:type="dxa"/>
            <w:tcBorders/>
            <w:shd w:fill="CCEEFF" w:val="clear"/>
            <w:vAlign w:val="center"/>
          </w:tcPr>
          <w:p>
            <w:pPr>
              <w:pStyle w:val="TableContents"/>
              <w:bidi w:val="0"/>
              <w:spacing w:before="0" w:after="283"/>
              <w:jc w:val="left"/>
              <w:rPr/>
            </w:pPr>
            <w:r>
              <w:rPr/>
              <w:t>Information Technology Services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252 West 37th Street</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First Lien Debt (j)</w:t>
            </w:r>
          </w:p>
        </w:tc>
        <w:tc>
          <w:tcPr>
            <w:tcW w:w="6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(S + 6.25%) / (1.00%)</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11.70%/0.00%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11/1/2023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9/16/2029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12,469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12,403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12,403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3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New York, NY 10018</w:t>
            </w:r>
          </w:p>
        </w:tc>
        <w:tc>
          <w:tcPr>
            <w:tcW w:w="6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pPr>
            <w:r>
              <w:rPr/>
              <w:t>Revolving Loan ($1,442 unfunded commitment) (i)(j)</w:t>
            </w:r>
          </w:p>
        </w:tc>
        <w:tc>
          <w:tcPr>
            <w:tcW w:w="60" w:type="dxa"/>
            <w:tcBorders/>
            <w:shd w:fill="CCEEFF" w:val="clear"/>
            <w:vAlign w:val="center"/>
          </w:tcPr>
          <w:p>
            <w:pPr>
              <w:pStyle w:val="TableContents"/>
              <w:bidi w:val="0"/>
              <w:spacing w:before="0" w:after="283"/>
              <w:jc w:val="left"/>
              <w:rPr/>
            </w:pPr>
            <w:r>
              <w:rPr/>
              <w:t> </w:t>
            </w:r>
          </w:p>
        </w:tc>
        <w:tc>
          <w:tcPr>
            <w:tcW w:w="20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(S + 6.25%) / (1.00%)</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11.70%/0.00%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11/1/2023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9/16/2029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Preferred Equity (1,250,000 units) (j)</w:t>
            </w:r>
          </w:p>
        </w:tc>
        <w:tc>
          <w:tcPr>
            <w:tcW w:w="6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0.38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11/1/2023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1,250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1,250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13,645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13,653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2</w:t>
            </w:r>
          </w:p>
        </w:tc>
        <w:tc>
          <w:tcPr>
            <w:tcW w:w="290" w:type="dxa"/>
            <w:tcBorders/>
            <w:shd w:fill="CCEEFF" w:val="clear"/>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1895" w:type="dxa"/>
            <w:gridSpan w:val="2"/>
            <w:tcBorders/>
            <w:vAlign w:val="center"/>
          </w:tcPr>
          <w:p>
            <w:pPr>
              <w:pStyle w:val="TableContents"/>
              <w:bidi w:val="0"/>
              <w:spacing w:before="0" w:after="283"/>
              <w:jc w:val="left"/>
              <w:rPr>
                <w:sz w:val="4"/>
                <w:szCs w:val="4"/>
              </w:rPr>
            </w:pPr>
            <w:r>
              <w:rPr>
                <w:sz w:val="4"/>
                <w:szCs w:val="4"/>
              </w:rPr>
            </w:r>
          </w:p>
        </w:tc>
        <w:tc>
          <w:tcPr>
            <w:tcW w:w="20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955"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Aldinger Company</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pPr>
            <w:r>
              <w:rPr/>
              <w:t>Business Services</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3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1440 Prudential Drive</w:t>
            </w:r>
          </w:p>
        </w:tc>
        <w:tc>
          <w:tcPr>
            <w:tcW w:w="6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pPr>
            <w:r>
              <w:rPr/>
              <w:t>First Lien Debt(k)( ae)</w:t>
            </w:r>
          </w:p>
        </w:tc>
        <w:tc>
          <w:tcPr>
            <w:tcW w:w="60" w:type="dxa"/>
            <w:tcBorders/>
            <w:shd w:fill="CCEEFF" w:val="clear"/>
            <w:vAlign w:val="center"/>
          </w:tcPr>
          <w:p>
            <w:pPr>
              <w:pStyle w:val="TableContents"/>
              <w:bidi w:val="0"/>
              <w:spacing w:before="0" w:after="283"/>
              <w:jc w:val="left"/>
              <w:rPr/>
            </w:pPr>
            <w:r>
              <w:rPr/>
              <w:t> </w:t>
            </w:r>
          </w:p>
        </w:tc>
        <w:tc>
          <w:tcPr>
            <w:tcW w:w="20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(S + 6.25%) / (2.00%)</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11.58%/0.00%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6/30/2023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6/29/2029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22,446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22,227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22,446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Dallas, TX 75235</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Common Equity (8,227 units)</w:t>
            </w:r>
          </w:p>
        </w:tc>
        <w:tc>
          <w:tcPr>
            <w:tcW w:w="6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0.73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6/30/2023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586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pPr>
            <w:r>
              <w:rPr/>
              <w:t>Preferred Equity (8,263 units)</w:t>
            </w:r>
          </w:p>
        </w:tc>
        <w:tc>
          <w:tcPr>
            <w:tcW w:w="60" w:type="dxa"/>
            <w:tcBorders/>
            <w:shd w:fill="CCEEFF" w:val="clear"/>
            <w:vAlign w:val="center"/>
          </w:tcPr>
          <w:p>
            <w:pPr>
              <w:pStyle w:val="TableContents"/>
              <w:bidi w:val="0"/>
              <w:spacing w:before="0" w:after="283"/>
              <w:jc w:val="left"/>
              <w:rPr/>
            </w:pPr>
            <w:r>
              <w:rPr/>
              <w:t> </w:t>
            </w:r>
          </w:p>
        </w:tc>
        <w:tc>
          <w:tcPr>
            <w:tcW w:w="20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0.73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6/30/2023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826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826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23,072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23,858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4</w:t>
            </w:r>
          </w:p>
        </w:tc>
        <w:tc>
          <w:tcPr>
            <w:tcW w:w="290"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1895" w:type="dxa"/>
            <w:gridSpan w:val="2"/>
            <w:tcBorders/>
            <w:vAlign w:val="center"/>
          </w:tcPr>
          <w:p>
            <w:pPr>
              <w:pStyle w:val="TableContents"/>
              <w:bidi w:val="0"/>
              <w:spacing w:before="0" w:after="283"/>
              <w:jc w:val="left"/>
              <w:rPr>
                <w:sz w:val="4"/>
                <w:szCs w:val="4"/>
              </w:rPr>
            </w:pPr>
            <w:r>
              <w:rPr>
                <w:sz w:val="4"/>
                <w:szCs w:val="4"/>
              </w:rPr>
            </w:r>
          </w:p>
        </w:tc>
        <w:tc>
          <w:tcPr>
            <w:tcW w:w="20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955"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Allredi, LLC (fka Marco Group International OpCo, LLC)</w:t>
            </w:r>
          </w:p>
        </w:tc>
        <w:tc>
          <w:tcPr>
            <w:tcW w:w="6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15" w:type="dxa"/>
            <w:tcBorders/>
            <w:shd w:fill="CCEEFF" w:val="clear"/>
            <w:vAlign w:val="center"/>
          </w:tcPr>
          <w:p>
            <w:pPr>
              <w:pStyle w:val="TableContents"/>
              <w:bidi w:val="0"/>
              <w:spacing w:before="0" w:after="283"/>
              <w:jc w:val="left"/>
              <w:rPr/>
            </w:pPr>
            <w:r>
              <w:rPr/>
              <w:t>Industrial Cleaning &amp; Coatings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3009 Pasadena Freeway Frontage Rd, #100</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Second Lien Debt</w:t>
            </w:r>
          </w:p>
        </w:tc>
        <w:tc>
          <w:tcPr>
            <w:tcW w:w="6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0.00%/15.00%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3/2/2020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9/2/2026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12,054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12,005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10,533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3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Pasadena, TX 77503</w:t>
            </w:r>
          </w:p>
        </w:tc>
        <w:tc>
          <w:tcPr>
            <w:tcW w:w="6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pPr>
            <w:r>
              <w:rPr/>
              <w:t>Common Equity (570,636 units) (h)(j)</w:t>
            </w:r>
          </w:p>
        </w:tc>
        <w:tc>
          <w:tcPr>
            <w:tcW w:w="60" w:type="dxa"/>
            <w:tcBorders/>
            <w:shd w:fill="CCEEFF" w:val="clear"/>
            <w:vAlign w:val="center"/>
          </w:tcPr>
          <w:p>
            <w:pPr>
              <w:pStyle w:val="TableContents"/>
              <w:bidi w:val="0"/>
              <w:spacing w:before="0" w:after="283"/>
              <w:jc w:val="left"/>
              <w:rPr/>
            </w:pPr>
            <w:r>
              <w:rPr/>
              <w:t> </w:t>
            </w:r>
          </w:p>
        </w:tc>
        <w:tc>
          <w:tcPr>
            <w:tcW w:w="20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0.30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7/21/2017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637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Common Equity (39,443 units) (h)(j)</w:t>
            </w:r>
          </w:p>
        </w:tc>
        <w:tc>
          <w:tcPr>
            <w:tcW w:w="6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0.30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11/24/2021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pPr>
            <w:r>
              <w:rPr/>
              <w:t>Common Equity (524,624 units) (h)(j)</w:t>
            </w:r>
          </w:p>
        </w:tc>
        <w:tc>
          <w:tcPr>
            <w:tcW w:w="60" w:type="dxa"/>
            <w:tcBorders/>
            <w:shd w:fill="CCEEFF" w:val="clear"/>
            <w:vAlign w:val="center"/>
          </w:tcPr>
          <w:p>
            <w:pPr>
              <w:pStyle w:val="TableContents"/>
              <w:bidi w:val="0"/>
              <w:spacing w:before="0" w:after="283"/>
              <w:jc w:val="left"/>
              <w:rPr/>
            </w:pPr>
            <w:r>
              <w:rPr/>
              <w:t> </w:t>
            </w:r>
          </w:p>
        </w:tc>
        <w:tc>
          <w:tcPr>
            <w:tcW w:w="20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0.30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8/3/2023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12,709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10,754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2</w:t>
            </w:r>
          </w:p>
        </w:tc>
        <w:tc>
          <w:tcPr>
            <w:tcW w:w="290"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1895" w:type="dxa"/>
            <w:gridSpan w:val="2"/>
            <w:tcBorders/>
            <w:vAlign w:val="center"/>
          </w:tcPr>
          <w:p>
            <w:pPr>
              <w:pStyle w:val="TableContents"/>
              <w:bidi w:val="0"/>
              <w:spacing w:before="0" w:after="283"/>
              <w:jc w:val="left"/>
              <w:rPr>
                <w:sz w:val="4"/>
                <w:szCs w:val="4"/>
              </w:rPr>
            </w:pPr>
            <w:r>
              <w:rPr>
                <w:sz w:val="4"/>
                <w:szCs w:val="4"/>
              </w:rPr>
            </w:r>
          </w:p>
        </w:tc>
        <w:tc>
          <w:tcPr>
            <w:tcW w:w="20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955"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American AllWaste LLC (dba WasteWater Transport Services)</w:t>
            </w:r>
          </w:p>
        </w:tc>
        <w:tc>
          <w:tcPr>
            <w:tcW w:w="6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15" w:type="dxa"/>
            <w:tcBorders/>
            <w:shd w:fill="CCEEFF" w:val="clear"/>
            <w:vAlign w:val="center"/>
          </w:tcPr>
          <w:p>
            <w:pPr>
              <w:pStyle w:val="TableContents"/>
              <w:bidi w:val="0"/>
              <w:spacing w:before="0" w:after="283"/>
              <w:jc w:val="left"/>
              <w:rPr/>
            </w:pPr>
            <w:r>
              <w:rPr/>
              <w:t>Environmental Industries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12141 Wickchester Ln., Suite 325</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First Lien Debt (j)(p)</w:t>
            </w:r>
          </w:p>
        </w:tc>
        <w:tc>
          <w:tcPr>
            <w:tcW w:w="6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(S + 6.50%) / (1.00%)</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12.09%/0.00%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6/28/2021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3/31/2025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22,218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22,062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21,456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3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Houston, TX 77079</w:t>
            </w:r>
          </w:p>
        </w:tc>
        <w:tc>
          <w:tcPr>
            <w:tcW w:w="6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pPr>
            <w:r>
              <w:rPr/>
              <w:t>First Lien Debt (j)(o)</w:t>
            </w:r>
          </w:p>
        </w:tc>
        <w:tc>
          <w:tcPr>
            <w:tcW w:w="60" w:type="dxa"/>
            <w:tcBorders/>
            <w:shd w:fill="CCEEFF" w:val="clear"/>
            <w:vAlign w:val="center"/>
          </w:tcPr>
          <w:p>
            <w:pPr>
              <w:pStyle w:val="TableContents"/>
              <w:bidi w:val="0"/>
              <w:spacing w:before="0" w:after="283"/>
              <w:jc w:val="left"/>
              <w:rPr/>
            </w:pPr>
            <w:r>
              <w:rPr/>
              <w:t> </w:t>
            </w:r>
          </w:p>
        </w:tc>
        <w:tc>
          <w:tcPr>
            <w:tcW w:w="20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(S + 6.50%) / (1.00%)</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9.59%/0.00%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6/28/2021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3/31/2025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330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330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319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Revolving Loan ($3,326 unfunded commitment) (j)(v)</w:t>
            </w:r>
          </w:p>
        </w:tc>
        <w:tc>
          <w:tcPr>
            <w:tcW w:w="6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15.00%/0.00%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3/28/2024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3/31/2025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2,924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2,924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2,924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pPr>
            <w:r>
              <w:rPr/>
              <w:t>Preferred Equity (500 units) (h)(j)</w:t>
            </w:r>
          </w:p>
        </w:tc>
        <w:tc>
          <w:tcPr>
            <w:tcW w:w="60" w:type="dxa"/>
            <w:tcBorders/>
            <w:shd w:fill="CCEEFF" w:val="clear"/>
            <w:vAlign w:val="center"/>
          </w:tcPr>
          <w:p>
            <w:pPr>
              <w:pStyle w:val="TableContents"/>
              <w:bidi w:val="0"/>
              <w:spacing w:before="0" w:after="283"/>
              <w:jc w:val="left"/>
              <w:rPr/>
            </w:pPr>
            <w:r>
              <w:rPr/>
              <w:t> </w:t>
            </w:r>
          </w:p>
        </w:tc>
        <w:tc>
          <w:tcPr>
            <w:tcW w:w="20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0.60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5/31/2018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Preferred Equity (207 units) (h)(j)</w:t>
            </w:r>
          </w:p>
        </w:tc>
        <w:tc>
          <w:tcPr>
            <w:tcW w:w="6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0.20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8/6/2019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250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pPr>
            <w:r>
              <w:rPr/>
              <w:t>Preferred Equity (141 units) (h)(j)</w:t>
            </w:r>
          </w:p>
        </w:tc>
        <w:tc>
          <w:tcPr>
            <w:tcW w:w="60" w:type="dxa"/>
            <w:tcBorders/>
            <w:shd w:fill="CCEEFF" w:val="clear"/>
            <w:vAlign w:val="center"/>
          </w:tcPr>
          <w:p>
            <w:pPr>
              <w:pStyle w:val="TableContents"/>
              <w:bidi w:val="0"/>
              <w:spacing w:before="0" w:after="283"/>
              <w:jc w:val="left"/>
              <w:rPr/>
            </w:pPr>
            <w:r>
              <w:rPr/>
              <w:t> </w:t>
            </w:r>
          </w:p>
        </w:tc>
        <w:tc>
          <w:tcPr>
            <w:tcW w:w="20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0.20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11/2/2020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171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Preferred Equity (74 units) (h)(j)</w:t>
            </w:r>
          </w:p>
        </w:tc>
        <w:tc>
          <w:tcPr>
            <w:tcW w:w="6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0.07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12/29/2021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97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26,334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24,801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4</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bidi w:val="0"/>
        <w:jc w:val="left"/>
        <w:rPr/>
      </w:pPr>
      <w:r>
        <w:rPr/>
      </w:r>
    </w:p>
    <w:tbl>
      <w:tblPr>
        <w:tblW w:w="14320" w:type="dxa"/>
        <w:jc w:val="left"/>
        <w:tblInd w:w="0" w:type="dxa"/>
        <w:tblLayout w:type="fixed"/>
        <w:tblCellMar>
          <w:top w:w="0" w:type="dxa"/>
          <w:left w:w="0" w:type="dxa"/>
          <w:bottom w:w="0" w:type="dxa"/>
          <w:right w:w="0" w:type="dxa"/>
        </w:tblCellMar>
      </w:tblPr>
      <w:tblGrid>
        <w:gridCol w:w="950"/>
        <w:gridCol w:w="60"/>
        <w:gridCol w:w="1715"/>
        <w:gridCol w:w="60"/>
        <w:gridCol w:w="1415"/>
        <w:gridCol w:w="60"/>
        <w:gridCol w:w="137"/>
        <w:gridCol w:w="1008"/>
        <w:gridCol w:w="275"/>
        <w:gridCol w:w="60"/>
        <w:gridCol w:w="1100"/>
        <w:gridCol w:w="60"/>
        <w:gridCol w:w="755"/>
        <w:gridCol w:w="60"/>
        <w:gridCol w:w="60"/>
        <w:gridCol w:w="1085"/>
        <w:gridCol w:w="60"/>
        <w:gridCol w:w="60"/>
        <w:gridCol w:w="60"/>
        <w:gridCol w:w="875"/>
        <w:gridCol w:w="60"/>
        <w:gridCol w:w="60"/>
        <w:gridCol w:w="77"/>
        <w:gridCol w:w="873"/>
        <w:gridCol w:w="60"/>
        <w:gridCol w:w="60"/>
        <w:gridCol w:w="60"/>
        <w:gridCol w:w="680"/>
        <w:gridCol w:w="60"/>
        <w:gridCol w:w="60"/>
        <w:gridCol w:w="70"/>
        <w:gridCol w:w="805"/>
        <w:gridCol w:w="60"/>
        <w:gridCol w:w="60"/>
        <w:gridCol w:w="321"/>
        <w:gridCol w:w="749"/>
        <w:gridCol w:w="290"/>
      </w:tblGrid>
      <w:tr>
        <w:trPr/>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50" w:type="dxa"/>
            <w:tcBorders/>
            <w:vAlign w:val="center"/>
          </w:tcPr>
          <w:p>
            <w:pPr>
              <w:pStyle w:val="TableContents"/>
              <w:bidi w:val="0"/>
              <w:spacing w:before="0" w:after="0"/>
              <w:jc w:val="left"/>
              <w:rPr>
                <w:rFonts w:ascii="Times New Roman" w:hAnsi="Times New Roman"/>
                <w:b/>
                <w:sz w:val="13"/>
              </w:rPr>
            </w:pPr>
            <w:r>
              <w:rPr>
                <w:rFonts w:ascii="Times New Roman" w:hAnsi="Times New Roman"/>
                <w:b/>
                <w:sz w:val="13"/>
              </w:rPr>
              <w:t>Portfolio Company (a)(b)</w:t>
            </w:r>
          </w:p>
          <w:p>
            <w:pPr>
              <w:pStyle w:val="TableContents"/>
              <w:bidi w:val="0"/>
              <w:spacing w:before="0" w:after="0"/>
              <w:jc w:val="left"/>
              <w:rPr/>
            </w:pPr>
            <w:r>
              <w:rPr/>
              <w:t> </w:t>
            </w:r>
          </w:p>
          <w:p>
            <w:pPr>
              <w:pStyle w:val="TableContents"/>
              <w:pBdr>
                <w:bottom w:val="single" w:sz="8" w:space="1" w:color="000000"/>
              </w:pBdr>
              <w:bidi w:val="0"/>
              <w:spacing w:before="0" w:after="20"/>
              <w:jc w:val="left"/>
              <w:rPr>
                <w:rFonts w:ascii="Times New Roman" w:hAnsi="Times New Roman"/>
                <w:b/>
                <w:sz w:val="13"/>
              </w:rPr>
            </w:pPr>
            <w:r>
              <w:rPr>
                <w:rFonts w:ascii="Times New Roman" w:hAnsi="Times New Roman"/>
                <w:b/>
                <w:sz w:val="13"/>
              </w:rPr>
              <w:t>Address of Portfolio Company</w:t>
            </w:r>
          </w:p>
        </w:tc>
        <w:tc>
          <w:tcPr>
            <w:tcW w:w="60" w:type="dxa"/>
            <w:tcBorders/>
            <w:vAlign w:val="center"/>
          </w:tcPr>
          <w:p>
            <w:pPr>
              <w:pStyle w:val="TableContents"/>
              <w:bidi w:val="0"/>
              <w:spacing w:before="0" w:after="283"/>
              <w:jc w:val="left"/>
              <w:rPr/>
            </w:pPr>
            <w:r>
              <w:rPr/>
              <w:t> </w:t>
            </w:r>
          </w:p>
        </w:tc>
        <w:tc>
          <w:tcPr>
            <w:tcW w:w="17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Investment Type (c)</w:t>
            </w:r>
          </w:p>
        </w:tc>
        <w:tc>
          <w:tcPr>
            <w:tcW w:w="60" w:type="dxa"/>
            <w:tcBorders/>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Industry</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 Class</w:t>
              <w:br/>
              <w:t>Held (aw)</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Variable</w:t>
              <w:br/>
              <w:t>Index Spread</w:t>
              <w:br/>
              <w:t>/ Floor (d)</w:t>
            </w:r>
          </w:p>
        </w:tc>
        <w:tc>
          <w:tcPr>
            <w:tcW w:w="60" w:type="dxa"/>
            <w:tcBorders/>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Rate (e)</w:t>
              <w:br/>
              <w:t>Cash/PIK</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Investment</w:t>
              <w:br/>
              <w:t>Date (f)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Maturity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Principal</w:t>
              <w:b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Value (g)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 of</w:t>
              <w:br/>
              <w:t>Net Assets</w:t>
            </w:r>
          </w:p>
        </w:tc>
        <w:tc>
          <w:tcPr>
            <w:tcW w:w="290"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283"/>
              <w:jc w:val="left"/>
              <w:rPr>
                <w:sz w:val="4"/>
                <w:szCs w:val="4"/>
              </w:rPr>
            </w:pPr>
            <w:r>
              <w:rPr>
                <w:sz w:val="4"/>
                <w:szCs w:val="4"/>
              </w:rPr>
            </w:r>
          </w:p>
        </w:tc>
        <w:tc>
          <w:tcPr>
            <w:tcW w:w="1775"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1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950"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AmeriWater, LLC</w:t>
            </w:r>
          </w:p>
        </w:tc>
        <w:tc>
          <w:tcPr>
            <w:tcW w:w="60" w:type="dxa"/>
            <w:tcBorders/>
            <w:shd w:fill="CCEEFF" w:val="clear"/>
            <w:vAlign w:val="center"/>
          </w:tcPr>
          <w:p>
            <w:pPr>
              <w:pStyle w:val="TableContents"/>
              <w:bidi w:val="0"/>
              <w:spacing w:before="0" w:after="283"/>
              <w:jc w:val="left"/>
              <w:rPr/>
            </w:pPr>
            <w:r>
              <w:rPr/>
              <w:t> </w:t>
            </w:r>
          </w:p>
        </w:tc>
        <w:tc>
          <w:tcPr>
            <w:tcW w:w="17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Component Manufacturing</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95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3354 Stop 8 Rd.</w:t>
            </w:r>
          </w:p>
        </w:tc>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pPr>
            <w:r>
              <w:rPr/>
              <w:t>First Lien Debt (af)</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(S + 6.25%) / (1.00%)</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11.56%/0.00%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7/8/2022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7/8/2027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7,590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7,559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7,590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5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Dayton, OH 45414</w:t>
            </w:r>
          </w:p>
        </w:tc>
        <w:tc>
          <w:tcPr>
            <w:tcW w:w="60" w:type="dxa"/>
            <w:tcBorders/>
            <w:shd w:fill="CCEEFF" w:val="clear"/>
            <w:vAlign w:val="center"/>
          </w:tcPr>
          <w:p>
            <w:pPr>
              <w:pStyle w:val="TableContents"/>
              <w:bidi w:val="0"/>
              <w:spacing w:before="0" w:after="283"/>
              <w:jc w:val="left"/>
              <w:rPr/>
            </w:pPr>
            <w:r>
              <w:rPr/>
              <w:t> </w:t>
            </w:r>
          </w:p>
        </w:tc>
        <w:tc>
          <w:tcPr>
            <w:tcW w:w="1715" w:type="dxa"/>
            <w:tcBorders/>
            <w:shd w:fill="CCEEFF" w:val="clear"/>
            <w:vAlign w:val="center"/>
          </w:tcPr>
          <w:p>
            <w:pPr>
              <w:pStyle w:val="TableContents"/>
              <w:bidi w:val="0"/>
              <w:spacing w:before="0" w:after="283"/>
              <w:jc w:val="left"/>
              <w:rPr/>
            </w:pPr>
            <w:r>
              <w:rPr/>
              <w:t>Subordinated Debt (j)</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7.00%/7.00%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7/8/2022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1/8/2028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2,259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2,253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2,259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pPr>
            <w:r>
              <w:rPr/>
              <w:t>Common Equity (1,000 units) (h)(j)</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4.08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7/8/2022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1,329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10,812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11,178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2</w:t>
            </w:r>
          </w:p>
        </w:tc>
        <w:tc>
          <w:tcPr>
            <w:tcW w:w="290" w:type="dxa"/>
            <w:tcBorders/>
            <w:shd w:fill="CCEEFF" w:val="clear"/>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283"/>
              <w:jc w:val="left"/>
              <w:rPr>
                <w:sz w:val="4"/>
                <w:szCs w:val="4"/>
              </w:rPr>
            </w:pPr>
            <w:r>
              <w:rPr>
                <w:sz w:val="4"/>
                <w:szCs w:val="4"/>
              </w:rPr>
            </w:r>
          </w:p>
        </w:tc>
        <w:tc>
          <w:tcPr>
            <w:tcW w:w="1775"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1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950"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AOM Intermediate Holdco, LLC (dba AllOver Media)</w:t>
            </w:r>
          </w:p>
        </w:tc>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Information Technology Services</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5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401 E Jackson Street</w:t>
            </w:r>
          </w:p>
        </w:tc>
        <w:tc>
          <w:tcPr>
            <w:tcW w:w="60" w:type="dxa"/>
            <w:tcBorders/>
            <w:shd w:fill="CCEEFF" w:val="clear"/>
            <w:vAlign w:val="center"/>
          </w:tcPr>
          <w:p>
            <w:pPr>
              <w:pStyle w:val="TableContents"/>
              <w:bidi w:val="0"/>
              <w:spacing w:before="0" w:after="283"/>
              <w:jc w:val="left"/>
              <w:rPr/>
            </w:pPr>
            <w:r>
              <w:rPr/>
              <w:t> </w:t>
            </w:r>
          </w:p>
        </w:tc>
        <w:tc>
          <w:tcPr>
            <w:tcW w:w="1715" w:type="dxa"/>
            <w:tcBorders/>
            <w:shd w:fill="CCEEFF" w:val="clear"/>
            <w:vAlign w:val="center"/>
          </w:tcPr>
          <w:p>
            <w:pPr>
              <w:pStyle w:val="TableContents"/>
              <w:bidi w:val="0"/>
              <w:spacing w:before="0" w:after="283"/>
              <w:jc w:val="left"/>
              <w:rPr/>
            </w:pPr>
            <w:r>
              <w:rPr/>
              <w:t>Common Equity (1,232 units) (h)(j)</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1.65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2/1/2022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1,372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1,645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0</w:t>
            </w:r>
          </w:p>
        </w:tc>
        <w:tc>
          <w:tcPr>
            <w:tcW w:w="290" w:type="dxa"/>
            <w:tcBorders/>
            <w:shd w:fill="CCEEFF" w:val="clear"/>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Tampa, FL 33602</w:t>
            </w:r>
          </w:p>
        </w:tc>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50" w:type="dxa"/>
            <w:tcBorders/>
            <w:vAlign w:val="center"/>
          </w:tcPr>
          <w:p>
            <w:pPr>
              <w:pStyle w:val="TableContents"/>
              <w:bidi w:val="0"/>
              <w:spacing w:before="0" w:after="283"/>
              <w:jc w:val="left"/>
              <w:rPr>
                <w:sz w:val="4"/>
                <w:szCs w:val="4"/>
              </w:rPr>
            </w:pPr>
            <w:r>
              <w:rPr>
                <w:sz w:val="4"/>
                <w:szCs w:val="4"/>
              </w:rPr>
            </w:r>
          </w:p>
        </w:tc>
        <w:tc>
          <w:tcPr>
            <w:tcW w:w="1775"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1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950"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APM Intermediate Holdings, LLC (dba Artistic Paver Manufacturing, Inc.)</w:t>
            </w:r>
          </w:p>
        </w:tc>
        <w:tc>
          <w:tcPr>
            <w:tcW w:w="60" w:type="dxa"/>
            <w:tcBorders/>
            <w:shd w:fill="CCEEFF" w:val="clear"/>
            <w:vAlign w:val="center"/>
          </w:tcPr>
          <w:p>
            <w:pPr>
              <w:pStyle w:val="TableContents"/>
              <w:bidi w:val="0"/>
              <w:spacing w:before="0" w:after="283"/>
              <w:jc w:val="left"/>
              <w:rPr/>
            </w:pPr>
            <w:r>
              <w:rPr/>
              <w:t> </w:t>
            </w:r>
          </w:p>
        </w:tc>
        <w:tc>
          <w:tcPr>
            <w:tcW w:w="17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Building Products Manufacturing</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95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401 E Jackson Street</w:t>
            </w:r>
          </w:p>
        </w:tc>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pPr>
            <w:r>
              <w:rPr/>
              <w:t>First Lien Debt (ai)</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(S + 7.00%) / (2.00%)</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12.33%/0.00%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11/8/2022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11/8/2027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18,200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18,100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18,200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5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Tampa, FL 33602</w:t>
            </w:r>
          </w:p>
        </w:tc>
        <w:tc>
          <w:tcPr>
            <w:tcW w:w="60" w:type="dxa"/>
            <w:tcBorders/>
            <w:shd w:fill="CCEEFF" w:val="clear"/>
            <w:vAlign w:val="center"/>
          </w:tcPr>
          <w:p>
            <w:pPr>
              <w:pStyle w:val="TableContents"/>
              <w:bidi w:val="0"/>
              <w:spacing w:before="0" w:after="283"/>
              <w:jc w:val="left"/>
              <w:rPr/>
            </w:pPr>
            <w:r>
              <w:rPr/>
              <w:t> </w:t>
            </w:r>
          </w:p>
        </w:tc>
        <w:tc>
          <w:tcPr>
            <w:tcW w:w="1715" w:type="dxa"/>
            <w:tcBorders/>
            <w:shd w:fill="CCEEFF" w:val="clear"/>
            <w:vAlign w:val="center"/>
          </w:tcPr>
          <w:p>
            <w:pPr>
              <w:pStyle w:val="TableContents"/>
              <w:bidi w:val="0"/>
              <w:spacing w:before="0" w:after="283"/>
              <w:jc w:val="left"/>
              <w:rPr/>
            </w:pPr>
            <w:r>
              <w:rPr/>
              <w:t>Common Equity (1,200 units) (h)(j)</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2.40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11/8/2022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1,335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19,300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19,535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3</w:t>
            </w:r>
          </w:p>
        </w:tc>
        <w:tc>
          <w:tcPr>
            <w:tcW w:w="290"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283"/>
              <w:jc w:val="left"/>
              <w:rPr>
                <w:sz w:val="4"/>
                <w:szCs w:val="4"/>
              </w:rPr>
            </w:pPr>
            <w:r>
              <w:rPr>
                <w:sz w:val="4"/>
                <w:szCs w:val="4"/>
              </w:rPr>
            </w:r>
          </w:p>
        </w:tc>
        <w:tc>
          <w:tcPr>
            <w:tcW w:w="1775"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1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950"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Auto CRM LLC (dba Dealer Holdings)</w:t>
            </w:r>
          </w:p>
        </w:tc>
        <w:tc>
          <w:tcPr>
            <w:tcW w:w="60" w:type="dxa"/>
            <w:tcBorders/>
            <w:shd w:fill="CCEEFF" w:val="clear"/>
            <w:vAlign w:val="center"/>
          </w:tcPr>
          <w:p>
            <w:pPr>
              <w:pStyle w:val="TableContents"/>
              <w:bidi w:val="0"/>
              <w:spacing w:before="0" w:after="283"/>
              <w:jc w:val="left"/>
              <w:rPr/>
            </w:pPr>
            <w:r>
              <w:rPr/>
              <w:t> </w:t>
            </w:r>
          </w:p>
        </w:tc>
        <w:tc>
          <w:tcPr>
            <w:tcW w:w="17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Information Technology Services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95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1115 Gunn Hwy #101</w:t>
            </w:r>
          </w:p>
        </w:tc>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pPr>
            <w:r>
              <w:rPr/>
              <w:t>First Lien Debt (am)</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(P + 5.50%) / (3.25%)</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14.00%/0.85%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10/1/2021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10/1/2026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7,664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7,626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7,740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5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Odessa, FL 33556</w:t>
            </w:r>
          </w:p>
        </w:tc>
        <w:tc>
          <w:tcPr>
            <w:tcW w:w="60" w:type="dxa"/>
            <w:tcBorders/>
            <w:shd w:fill="CCEEFF" w:val="clear"/>
            <w:vAlign w:val="center"/>
          </w:tcPr>
          <w:p>
            <w:pPr>
              <w:pStyle w:val="TableContents"/>
              <w:bidi w:val="0"/>
              <w:spacing w:before="0" w:after="283"/>
              <w:jc w:val="left"/>
              <w:rPr/>
            </w:pPr>
            <w:r>
              <w:rPr/>
              <w:t> </w:t>
            </w:r>
          </w:p>
        </w:tc>
        <w:tc>
          <w:tcPr>
            <w:tcW w:w="1715" w:type="dxa"/>
            <w:tcBorders/>
            <w:shd w:fill="CCEEFF" w:val="clear"/>
            <w:vAlign w:val="center"/>
          </w:tcPr>
          <w:p>
            <w:pPr>
              <w:pStyle w:val="TableContents"/>
              <w:bidi w:val="0"/>
              <w:spacing w:before="0" w:after="283"/>
              <w:jc w:val="left"/>
              <w:rPr/>
            </w:pPr>
            <w:r>
              <w:rPr/>
              <w:t>Subordinated Debt</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0.00%/14.50%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10/1/2021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12/31/2026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702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709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pPr>
            <w:r>
              <w:rPr/>
              <w:t>Common Equity (500 units) (j)</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0.31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10/1/2021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209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8,825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8,658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1</w:t>
            </w:r>
          </w:p>
        </w:tc>
        <w:tc>
          <w:tcPr>
            <w:tcW w:w="290" w:type="dxa"/>
            <w:tcBorders/>
            <w:shd w:fill="CCEEFF" w:val="clear"/>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283"/>
              <w:jc w:val="left"/>
              <w:rPr>
                <w:sz w:val="4"/>
                <w:szCs w:val="4"/>
              </w:rPr>
            </w:pPr>
            <w:r>
              <w:rPr>
                <w:sz w:val="4"/>
                <w:szCs w:val="4"/>
              </w:rPr>
            </w:r>
          </w:p>
        </w:tc>
        <w:tc>
          <w:tcPr>
            <w:tcW w:w="1775"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1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950"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Bad Boy Mowers JV Acquisition, LLC</w:t>
            </w:r>
          </w:p>
        </w:tc>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Consumer Products</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5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102 Industrial Drive</w:t>
            </w:r>
          </w:p>
        </w:tc>
        <w:tc>
          <w:tcPr>
            <w:tcW w:w="60" w:type="dxa"/>
            <w:tcBorders/>
            <w:shd w:fill="CCEEFF" w:val="clear"/>
            <w:vAlign w:val="center"/>
          </w:tcPr>
          <w:p>
            <w:pPr>
              <w:pStyle w:val="TableContents"/>
              <w:bidi w:val="0"/>
              <w:spacing w:before="0" w:after="283"/>
              <w:jc w:val="left"/>
              <w:rPr/>
            </w:pPr>
            <w:r>
              <w:rPr/>
              <w:t> </w:t>
            </w:r>
          </w:p>
        </w:tc>
        <w:tc>
          <w:tcPr>
            <w:tcW w:w="1715" w:type="dxa"/>
            <w:tcBorders/>
            <w:shd w:fill="CCEEFF" w:val="clear"/>
            <w:vAlign w:val="center"/>
          </w:tcPr>
          <w:p>
            <w:pPr>
              <w:pStyle w:val="TableContents"/>
              <w:bidi w:val="0"/>
              <w:spacing w:before="0" w:after="283"/>
              <w:jc w:val="left"/>
              <w:rPr/>
            </w:pPr>
            <w:r>
              <w:rPr/>
              <w:t>Subordinated Debt (k)</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9.00%/4.50%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11/9/2023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11/9/2030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13,235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13,158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13,158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95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Batesville, AR 72501</w:t>
            </w:r>
          </w:p>
        </w:tc>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pPr>
            <w:r>
              <w:rPr/>
              <w:t>Preferred Equity (13,000 units) (j)</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0.19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11/9/2023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1,300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1,300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14,458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14,458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2</w:t>
            </w:r>
          </w:p>
        </w:tc>
        <w:tc>
          <w:tcPr>
            <w:tcW w:w="290" w:type="dxa"/>
            <w:tcBorders/>
            <w:shd w:fill="CCEEFF" w:val="clear"/>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283"/>
              <w:jc w:val="left"/>
              <w:rPr>
                <w:sz w:val="4"/>
                <w:szCs w:val="4"/>
              </w:rPr>
            </w:pPr>
            <w:r>
              <w:rPr>
                <w:sz w:val="4"/>
                <w:szCs w:val="4"/>
              </w:rPr>
            </w:r>
          </w:p>
        </w:tc>
        <w:tc>
          <w:tcPr>
            <w:tcW w:w="1775"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1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950"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Barefoot Mosquito and Pest Control, LLC</w:t>
            </w:r>
          </w:p>
        </w:tc>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Consumer Services</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5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8060 US-290</w:t>
            </w:r>
          </w:p>
        </w:tc>
        <w:tc>
          <w:tcPr>
            <w:tcW w:w="60" w:type="dxa"/>
            <w:tcBorders/>
            <w:shd w:fill="CCEEFF" w:val="clear"/>
            <w:vAlign w:val="center"/>
          </w:tcPr>
          <w:p>
            <w:pPr>
              <w:pStyle w:val="TableContents"/>
              <w:bidi w:val="0"/>
              <w:spacing w:before="0" w:after="283"/>
              <w:jc w:val="left"/>
              <w:rPr/>
            </w:pPr>
            <w:r>
              <w:rPr/>
              <w:t> </w:t>
            </w:r>
          </w:p>
        </w:tc>
        <w:tc>
          <w:tcPr>
            <w:tcW w:w="1715" w:type="dxa"/>
            <w:tcBorders/>
            <w:shd w:fill="CCEEFF" w:val="clear"/>
            <w:vAlign w:val="center"/>
          </w:tcPr>
          <w:p>
            <w:pPr>
              <w:pStyle w:val="TableContents"/>
              <w:bidi w:val="0"/>
              <w:spacing w:before="0" w:after="283"/>
              <w:jc w:val="left"/>
              <w:rPr/>
            </w:pPr>
            <w:r>
              <w:rPr/>
              <w:t>First Lien Debt (k)</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pPr>
            <w:r>
              <w:rPr/>
              <w:t>(S + 7.00%) / (2.00%)</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12.33%/0.00%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12/22/2023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12/22/2029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29,000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28,830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28,829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95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Austin, TX 78736</w:t>
            </w:r>
          </w:p>
        </w:tc>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pPr>
            <w:r>
              <w:rPr/>
              <w:t>Revolving Loan ($1,500 unfunded commitment) (i)(j)</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(S + 7.00%) / (2.00%)</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12.33%/0.00%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12/22/2023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12/22/2029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15" w:type="dxa"/>
            <w:tcBorders/>
            <w:shd w:fill="CCEEFF" w:val="clear"/>
            <w:vAlign w:val="center"/>
          </w:tcPr>
          <w:p>
            <w:pPr>
              <w:pStyle w:val="TableContents"/>
              <w:bidi w:val="0"/>
              <w:spacing w:before="0" w:after="283"/>
              <w:jc w:val="left"/>
              <w:rPr/>
            </w:pPr>
            <w:r>
              <w:rPr/>
              <w:t>Common Equity (3,974 units) (h)(j)</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2.38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12/22/2023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pPr>
            <w:r>
              <w:rPr/>
              <w:t>Preferred Equity (15,000 units) (h)(j)</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12/22/2023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30,330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30,329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5</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bidi w:val="0"/>
        <w:jc w:val="left"/>
        <w:rPr/>
      </w:pPr>
      <w:r>
        <w:rPr/>
      </w:r>
    </w:p>
    <w:tbl>
      <w:tblPr>
        <w:tblW w:w="14050" w:type="dxa"/>
        <w:jc w:val="left"/>
        <w:tblInd w:w="0" w:type="dxa"/>
        <w:tblLayout w:type="fixed"/>
        <w:tblCellMar>
          <w:top w:w="0" w:type="dxa"/>
          <w:left w:w="0" w:type="dxa"/>
          <w:bottom w:w="0" w:type="dxa"/>
          <w:right w:w="0" w:type="dxa"/>
        </w:tblCellMar>
      </w:tblPr>
      <w:tblGrid>
        <w:gridCol w:w="860"/>
        <w:gridCol w:w="60"/>
        <w:gridCol w:w="1790"/>
        <w:gridCol w:w="60"/>
        <w:gridCol w:w="1160"/>
        <w:gridCol w:w="60"/>
        <w:gridCol w:w="137"/>
        <w:gridCol w:w="1008"/>
        <w:gridCol w:w="275"/>
        <w:gridCol w:w="60"/>
        <w:gridCol w:w="1100"/>
        <w:gridCol w:w="60"/>
        <w:gridCol w:w="755"/>
        <w:gridCol w:w="60"/>
        <w:gridCol w:w="60"/>
        <w:gridCol w:w="1085"/>
        <w:gridCol w:w="60"/>
        <w:gridCol w:w="60"/>
        <w:gridCol w:w="60"/>
        <w:gridCol w:w="875"/>
        <w:gridCol w:w="60"/>
        <w:gridCol w:w="60"/>
        <w:gridCol w:w="77"/>
        <w:gridCol w:w="873"/>
        <w:gridCol w:w="60"/>
        <w:gridCol w:w="60"/>
        <w:gridCol w:w="60"/>
        <w:gridCol w:w="680"/>
        <w:gridCol w:w="60"/>
        <w:gridCol w:w="60"/>
        <w:gridCol w:w="70"/>
        <w:gridCol w:w="805"/>
        <w:gridCol w:w="60"/>
        <w:gridCol w:w="60"/>
        <w:gridCol w:w="321"/>
        <w:gridCol w:w="749"/>
        <w:gridCol w:w="290"/>
      </w:tblGrid>
      <w:tr>
        <w:trPr/>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0"/>
              <w:jc w:val="left"/>
              <w:rPr>
                <w:rFonts w:ascii="Times New Roman" w:hAnsi="Times New Roman"/>
                <w:b/>
                <w:sz w:val="13"/>
              </w:rPr>
            </w:pPr>
            <w:r>
              <w:rPr>
                <w:rFonts w:ascii="Times New Roman" w:hAnsi="Times New Roman"/>
                <w:b/>
                <w:sz w:val="13"/>
              </w:rPr>
              <w:t>Portfolio Company (a)(b)</w:t>
            </w:r>
          </w:p>
          <w:p>
            <w:pPr>
              <w:pStyle w:val="TableContents"/>
              <w:bidi w:val="0"/>
              <w:spacing w:before="0" w:after="0"/>
              <w:jc w:val="left"/>
              <w:rPr/>
            </w:pPr>
            <w:r>
              <w:rPr/>
              <w:t> </w:t>
            </w:r>
          </w:p>
          <w:p>
            <w:pPr>
              <w:pStyle w:val="TableContents"/>
              <w:pBdr>
                <w:bottom w:val="single" w:sz="8" w:space="1" w:color="000000"/>
              </w:pBdr>
              <w:bidi w:val="0"/>
              <w:spacing w:before="0" w:after="20"/>
              <w:jc w:val="left"/>
              <w:rPr>
                <w:rFonts w:ascii="Times New Roman" w:hAnsi="Times New Roman"/>
                <w:b/>
                <w:sz w:val="13"/>
              </w:rPr>
            </w:pPr>
            <w:r>
              <w:rPr>
                <w:rFonts w:ascii="Times New Roman" w:hAnsi="Times New Roman"/>
                <w:b/>
                <w:sz w:val="13"/>
              </w:rPr>
              <w:t>Address of Portfolio Company</w:t>
            </w:r>
          </w:p>
        </w:tc>
        <w:tc>
          <w:tcPr>
            <w:tcW w:w="60" w:type="dxa"/>
            <w:tcBorders/>
            <w:vAlign w:val="center"/>
          </w:tcPr>
          <w:p>
            <w:pPr>
              <w:pStyle w:val="TableContents"/>
              <w:bidi w:val="0"/>
              <w:spacing w:before="0" w:after="283"/>
              <w:jc w:val="left"/>
              <w:rPr/>
            </w:pPr>
            <w:r>
              <w:rPr/>
              <w:t> </w:t>
            </w:r>
          </w:p>
        </w:tc>
        <w:tc>
          <w:tcPr>
            <w:tcW w:w="179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Investment Type (c)</w:t>
            </w:r>
          </w:p>
        </w:tc>
        <w:tc>
          <w:tcPr>
            <w:tcW w:w="60" w:type="dxa"/>
            <w:tcBorders/>
            <w:vAlign w:val="center"/>
          </w:tcPr>
          <w:p>
            <w:pPr>
              <w:pStyle w:val="TableContents"/>
              <w:bidi w:val="0"/>
              <w:spacing w:before="0" w:after="283"/>
              <w:jc w:val="left"/>
              <w:rPr/>
            </w:pPr>
            <w:r>
              <w:rPr/>
              <w:t> </w:t>
            </w:r>
          </w:p>
        </w:tc>
        <w:tc>
          <w:tcPr>
            <w:tcW w:w="11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Industry</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 Class</w:t>
              <w:br/>
              <w:t>Held (aw)</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Variable</w:t>
              <w:br/>
              <w:t>Index Spread</w:t>
              <w:br/>
              <w:t>/ Floor (d)</w:t>
            </w:r>
          </w:p>
        </w:tc>
        <w:tc>
          <w:tcPr>
            <w:tcW w:w="60" w:type="dxa"/>
            <w:tcBorders/>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Rate (e)</w:t>
              <w:br/>
              <w:t>Cash/PIK</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Investment</w:t>
              <w:br/>
              <w:t>Date (f)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Maturity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Principal</w:t>
              <w:b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Value (g)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 of</w:t>
              <w:br/>
              <w:t>Net Assets</w:t>
            </w:r>
          </w:p>
        </w:tc>
        <w:tc>
          <w:tcPr>
            <w:tcW w:w="290" w:type="dxa"/>
            <w:tcBorders/>
            <w:vAlign w:val="center"/>
          </w:tcPr>
          <w:p>
            <w:pPr>
              <w:pStyle w:val="TableContents"/>
              <w:bidi w:val="0"/>
              <w:spacing w:before="0" w:after="283"/>
              <w:jc w:val="left"/>
              <w:rPr/>
            </w:pPr>
            <w:r>
              <w:rPr/>
              <w:t> </w:t>
            </w:r>
          </w:p>
        </w:tc>
      </w:tr>
      <w:tr>
        <w:trPr/>
        <w:tc>
          <w:tcPr>
            <w:tcW w:w="860" w:type="dxa"/>
            <w:tcBorders/>
            <w:vAlign w:val="center"/>
          </w:tcPr>
          <w:p>
            <w:pPr>
              <w:pStyle w:val="TableContents"/>
              <w:bidi w:val="0"/>
              <w:spacing w:before="0" w:after="283"/>
              <w:jc w:val="left"/>
              <w:rPr>
                <w:sz w:val="4"/>
                <w:szCs w:val="4"/>
              </w:rPr>
            </w:pPr>
            <w:r>
              <w:rPr>
                <w:sz w:val="4"/>
                <w:szCs w:val="4"/>
              </w:rPr>
            </w:r>
          </w:p>
        </w:tc>
        <w:tc>
          <w:tcPr>
            <w:tcW w:w="1850" w:type="dxa"/>
            <w:gridSpan w:val="2"/>
            <w:tcBorders/>
            <w:vAlign w:val="center"/>
          </w:tcPr>
          <w:p>
            <w:pPr>
              <w:pStyle w:val="TableContents"/>
              <w:bidi w:val="0"/>
              <w:spacing w:before="0" w:after="283"/>
              <w:jc w:val="left"/>
              <w:rPr>
                <w:sz w:val="4"/>
                <w:szCs w:val="4"/>
              </w:rPr>
            </w:pPr>
            <w:r>
              <w:rPr>
                <w:sz w:val="4"/>
                <w:szCs w:val="4"/>
              </w:rPr>
            </w:r>
          </w:p>
        </w:tc>
        <w:tc>
          <w:tcPr>
            <w:tcW w:w="1220"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1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60"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BCM One Group Holdings, Inc.</w:t>
            </w:r>
          </w:p>
        </w:tc>
        <w:tc>
          <w:tcPr>
            <w:tcW w:w="60"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t>Information Technology Services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295 Madison Avenue, 5th Floor</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Subordinated Debt (j)</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11.75%/0.00%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11/17/2021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11/17/2028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18,333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18,208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18,333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3</w:t>
            </w:r>
          </w:p>
        </w:tc>
        <w:tc>
          <w:tcPr>
            <w:tcW w:w="290" w:type="dxa"/>
            <w:tcBorders/>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New York, NY 10017</w:t>
            </w:r>
          </w:p>
        </w:tc>
        <w:tc>
          <w:tcPr>
            <w:tcW w:w="60"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283"/>
              <w:jc w:val="left"/>
              <w:rPr>
                <w:sz w:val="4"/>
                <w:szCs w:val="4"/>
              </w:rPr>
            </w:pPr>
            <w:r>
              <w:rPr>
                <w:sz w:val="4"/>
                <w:szCs w:val="4"/>
              </w:rPr>
            </w:r>
          </w:p>
        </w:tc>
        <w:tc>
          <w:tcPr>
            <w:tcW w:w="1850" w:type="dxa"/>
            <w:gridSpan w:val="2"/>
            <w:tcBorders/>
            <w:vAlign w:val="center"/>
          </w:tcPr>
          <w:p>
            <w:pPr>
              <w:pStyle w:val="TableContents"/>
              <w:bidi w:val="0"/>
              <w:spacing w:before="0" w:after="283"/>
              <w:jc w:val="left"/>
              <w:rPr>
                <w:sz w:val="4"/>
                <w:szCs w:val="4"/>
              </w:rPr>
            </w:pPr>
            <w:r>
              <w:rPr>
                <w:sz w:val="4"/>
                <w:szCs w:val="4"/>
              </w:rPr>
            </w:r>
          </w:p>
        </w:tc>
        <w:tc>
          <w:tcPr>
            <w:tcW w:w="1220"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1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Bedford Precision Parts LLC</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Specialty Distribution</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6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290 Adams St.</w:t>
            </w:r>
          </w:p>
        </w:tc>
        <w:tc>
          <w:tcPr>
            <w:tcW w:w="60"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pPr>
            <w:r>
              <w:rPr/>
              <w:t>Common Equity (500,000 units) (h)(j)</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4.60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3/12/2019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318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0</w:t>
            </w:r>
          </w:p>
        </w:tc>
        <w:tc>
          <w:tcPr>
            <w:tcW w:w="290" w:type="dxa"/>
            <w:tcBorders/>
            <w:shd w:fill="CCEEFF" w:val="clear"/>
            <w:vAlign w:val="center"/>
          </w:tcPr>
          <w:p>
            <w:pPr>
              <w:pStyle w:val="TableContents"/>
              <w:bidi w:val="0"/>
              <w:spacing w:before="0" w:after="283"/>
              <w:jc w:val="left"/>
              <w:rPr/>
            </w:pPr>
            <w:r>
              <w:rPr/>
              <w:t>% </w:t>
            </w:r>
          </w:p>
        </w:tc>
      </w:tr>
      <w:tr>
        <w:trPr/>
        <w:tc>
          <w:tcPr>
            <w:tcW w:w="86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Bedford Hills, NY 10507</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283"/>
              <w:jc w:val="left"/>
              <w:rPr>
                <w:sz w:val="4"/>
                <w:szCs w:val="4"/>
              </w:rPr>
            </w:pPr>
            <w:r>
              <w:rPr>
                <w:sz w:val="4"/>
                <w:szCs w:val="4"/>
              </w:rPr>
            </w:r>
          </w:p>
        </w:tc>
        <w:tc>
          <w:tcPr>
            <w:tcW w:w="1850" w:type="dxa"/>
            <w:gridSpan w:val="2"/>
            <w:tcBorders/>
            <w:vAlign w:val="center"/>
          </w:tcPr>
          <w:p>
            <w:pPr>
              <w:pStyle w:val="TableContents"/>
              <w:bidi w:val="0"/>
              <w:spacing w:before="0" w:after="283"/>
              <w:jc w:val="left"/>
              <w:rPr>
                <w:sz w:val="4"/>
                <w:szCs w:val="4"/>
              </w:rPr>
            </w:pPr>
            <w:r>
              <w:rPr>
                <w:sz w:val="4"/>
                <w:szCs w:val="4"/>
              </w:rPr>
            </w:r>
          </w:p>
        </w:tc>
        <w:tc>
          <w:tcPr>
            <w:tcW w:w="1220"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1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60"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BP Thrift Buyer, LLC (dba myUnique and Ecothrift)</w:t>
            </w:r>
          </w:p>
        </w:tc>
        <w:tc>
          <w:tcPr>
            <w:tcW w:w="60"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t>Retail</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7949 E Acoma Dr, Ste 100</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First Lien Debt (j)(al)</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(S + 5.75%) / (1.50%)</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11.08%/0.00%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9/13/2022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9/13/2027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20,000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19,680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20,000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6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Scottsdale, AZ 85260</w:t>
            </w:r>
          </w:p>
        </w:tc>
        <w:tc>
          <w:tcPr>
            <w:tcW w:w="60"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pPr>
            <w:r>
              <w:rPr/>
              <w:t>First Lien Debt (j)</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pPr>
            <w:r>
              <w:rPr/>
              <w:t>(S + 5.75%) / (1.50%)</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8.83%/0.00%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5/12/2023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9/13/2027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1,892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1,892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1,892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Common Equity (1,000 units) (j)</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1.07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9/13/2022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960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1,415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22,532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23,307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4</w:t>
            </w:r>
          </w:p>
        </w:tc>
        <w:tc>
          <w:tcPr>
            <w:tcW w:w="290" w:type="dxa"/>
            <w:tcBorders/>
            <w:shd w:fill="CCEEFF" w:val="clear"/>
            <w:vAlign w:val="center"/>
          </w:tcPr>
          <w:p>
            <w:pPr>
              <w:pStyle w:val="TableContents"/>
              <w:bidi w:val="0"/>
              <w:spacing w:before="0" w:after="283"/>
              <w:jc w:val="left"/>
              <w:rPr/>
            </w:pPr>
            <w:r>
              <w:rPr/>
              <w:t>% </w:t>
            </w:r>
          </w:p>
        </w:tc>
      </w:tr>
      <w:tr>
        <w:trPr/>
        <w:tc>
          <w:tcPr>
            <w:tcW w:w="860" w:type="dxa"/>
            <w:tcBorders/>
            <w:vAlign w:val="center"/>
          </w:tcPr>
          <w:p>
            <w:pPr>
              <w:pStyle w:val="TableContents"/>
              <w:bidi w:val="0"/>
              <w:spacing w:before="0" w:after="283"/>
              <w:jc w:val="left"/>
              <w:rPr>
                <w:sz w:val="4"/>
                <w:szCs w:val="4"/>
              </w:rPr>
            </w:pPr>
            <w:r>
              <w:rPr>
                <w:sz w:val="4"/>
                <w:szCs w:val="4"/>
              </w:rPr>
            </w:r>
          </w:p>
        </w:tc>
        <w:tc>
          <w:tcPr>
            <w:tcW w:w="1850" w:type="dxa"/>
            <w:gridSpan w:val="2"/>
            <w:tcBorders/>
            <w:vAlign w:val="center"/>
          </w:tcPr>
          <w:p>
            <w:pPr>
              <w:pStyle w:val="TableContents"/>
              <w:bidi w:val="0"/>
              <w:spacing w:before="0" w:after="283"/>
              <w:jc w:val="left"/>
              <w:rPr>
                <w:sz w:val="4"/>
                <w:szCs w:val="4"/>
              </w:rPr>
            </w:pPr>
            <w:r>
              <w:rPr>
                <w:sz w:val="4"/>
                <w:szCs w:val="4"/>
              </w:rPr>
            </w:r>
          </w:p>
        </w:tc>
        <w:tc>
          <w:tcPr>
            <w:tcW w:w="1220"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1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BurgerFi International, LLC (dba BurgerFi) (ad)</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Restaurants</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6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200 W. Cypress Creek Road, Suite 220</w:t>
            </w:r>
          </w:p>
        </w:tc>
        <w:tc>
          <w:tcPr>
            <w:tcW w:w="60"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pPr>
            <w:r>
              <w:rPr/>
              <w:t>Common Equity (14,201 units) (j)(ao)</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0.46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11/3/2022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Fort Lauderdale, FL 33309</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Preferred Equity (9,787 units) (j)(ao)</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11/3/2022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245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253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0</w:t>
            </w:r>
          </w:p>
        </w:tc>
        <w:tc>
          <w:tcPr>
            <w:tcW w:w="290" w:type="dxa"/>
            <w:tcBorders/>
            <w:shd w:fill="CCEEFF" w:val="clear"/>
            <w:vAlign w:val="center"/>
          </w:tcPr>
          <w:p>
            <w:pPr>
              <w:pStyle w:val="TableContents"/>
              <w:bidi w:val="0"/>
              <w:spacing w:before="0" w:after="283"/>
              <w:jc w:val="left"/>
              <w:rPr/>
            </w:pPr>
            <w:r>
              <w:rPr/>
              <w:t>% </w:t>
            </w:r>
          </w:p>
        </w:tc>
      </w:tr>
      <w:tr>
        <w:trPr/>
        <w:tc>
          <w:tcPr>
            <w:tcW w:w="860" w:type="dxa"/>
            <w:tcBorders/>
            <w:vAlign w:val="center"/>
          </w:tcPr>
          <w:p>
            <w:pPr>
              <w:pStyle w:val="TableContents"/>
              <w:bidi w:val="0"/>
              <w:spacing w:before="0" w:after="283"/>
              <w:jc w:val="left"/>
              <w:rPr>
                <w:sz w:val="4"/>
                <w:szCs w:val="4"/>
              </w:rPr>
            </w:pPr>
            <w:r>
              <w:rPr>
                <w:sz w:val="4"/>
                <w:szCs w:val="4"/>
              </w:rPr>
            </w:r>
          </w:p>
        </w:tc>
        <w:tc>
          <w:tcPr>
            <w:tcW w:w="1850" w:type="dxa"/>
            <w:gridSpan w:val="2"/>
            <w:tcBorders/>
            <w:vAlign w:val="center"/>
          </w:tcPr>
          <w:p>
            <w:pPr>
              <w:pStyle w:val="TableContents"/>
              <w:bidi w:val="0"/>
              <w:spacing w:before="0" w:after="283"/>
              <w:jc w:val="left"/>
              <w:rPr>
                <w:sz w:val="4"/>
                <w:szCs w:val="4"/>
              </w:rPr>
            </w:pPr>
            <w:r>
              <w:rPr>
                <w:sz w:val="4"/>
                <w:szCs w:val="4"/>
              </w:rPr>
            </w:r>
          </w:p>
        </w:tc>
        <w:tc>
          <w:tcPr>
            <w:tcW w:w="1220"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1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Cardback Intermediate, LLC (dba Chargeback Gurus)</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Information Technology Services</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6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8951 Collin McKinney Pkwy, Suite 1001-1002</w:t>
            </w:r>
          </w:p>
        </w:tc>
        <w:tc>
          <w:tcPr>
            <w:tcW w:w="60"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pPr>
            <w:r>
              <w:rPr/>
              <w:t>First Lien Debt (j)(ah)</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pPr>
            <w:r>
              <w:rPr/>
              <w:t>(S + 6.50%) / (0.75%)</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12.09%/0.00%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8/10/2021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8/10/2026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11,699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11,662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11,699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McKinney, TX 75070</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Common Equity (495 shares) (j)</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0.45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8/10/2021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pPr>
            <w:r>
              <w:rPr/>
              <w:t>Preferred Equity (495 shares) (j)</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8/10/2021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295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11,912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11,994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2</w:t>
            </w:r>
          </w:p>
        </w:tc>
        <w:tc>
          <w:tcPr>
            <w:tcW w:w="290" w:type="dxa"/>
            <w:tcBorders/>
            <w:vAlign w:val="center"/>
          </w:tcPr>
          <w:p>
            <w:pPr>
              <w:pStyle w:val="TableContents"/>
              <w:bidi w:val="0"/>
              <w:spacing w:before="0" w:after="283"/>
              <w:jc w:val="left"/>
              <w:rPr/>
            </w:pPr>
            <w:r>
              <w:rPr/>
              <w:t>% </w:t>
            </w:r>
          </w:p>
        </w:tc>
      </w:tr>
      <w:tr>
        <w:trPr/>
        <w:tc>
          <w:tcPr>
            <w:tcW w:w="860" w:type="dxa"/>
            <w:tcBorders/>
            <w:vAlign w:val="center"/>
          </w:tcPr>
          <w:p>
            <w:pPr>
              <w:pStyle w:val="TableContents"/>
              <w:bidi w:val="0"/>
              <w:spacing w:before="0" w:after="283"/>
              <w:jc w:val="left"/>
              <w:rPr>
                <w:sz w:val="4"/>
                <w:szCs w:val="4"/>
              </w:rPr>
            </w:pPr>
            <w:r>
              <w:rPr>
                <w:sz w:val="4"/>
                <w:szCs w:val="4"/>
              </w:rPr>
            </w:r>
          </w:p>
        </w:tc>
        <w:tc>
          <w:tcPr>
            <w:tcW w:w="1850" w:type="dxa"/>
            <w:gridSpan w:val="2"/>
            <w:tcBorders/>
            <w:vAlign w:val="center"/>
          </w:tcPr>
          <w:p>
            <w:pPr>
              <w:pStyle w:val="TableContents"/>
              <w:bidi w:val="0"/>
              <w:spacing w:before="0" w:after="283"/>
              <w:jc w:val="left"/>
              <w:rPr>
                <w:sz w:val="4"/>
                <w:szCs w:val="4"/>
              </w:rPr>
            </w:pPr>
            <w:r>
              <w:rPr>
                <w:sz w:val="4"/>
                <w:szCs w:val="4"/>
              </w:rPr>
            </w:r>
          </w:p>
        </w:tc>
        <w:tc>
          <w:tcPr>
            <w:tcW w:w="1220"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1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60"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Choice Technology Solutions, LLC (dba Choice Merchant Solutions, LLC)</w:t>
            </w:r>
          </w:p>
        </w:tc>
        <w:tc>
          <w:tcPr>
            <w:tcW w:w="60"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t>Information Technology Services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10 Columbus Blvd, 6th Floor</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First Lien Debt (j)</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(S + 7.25%) / (1.00%)</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12.83%/0.00%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4/1/2022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4/1/2027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8,500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8,471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8,500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6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Hartford, CT 06106</w:t>
            </w:r>
          </w:p>
        </w:tc>
        <w:tc>
          <w:tcPr>
            <w:tcW w:w="60"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pPr>
            <w:r>
              <w:rPr/>
              <w:t>Revolving Loan ($1,000 unfunded commitment) (i)(j)</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pPr>
            <w:r>
              <w:rPr/>
              <w:t>(S + 6.25%) / (1.00%)</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11.83%/0.00%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4/1/2022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4/1/2027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Preferred Equity (500,000 units) (h)(j)</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8/21/2023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688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8,971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9,188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2</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bidi w:val="0"/>
        <w:jc w:val="left"/>
        <w:rPr/>
      </w:pPr>
      <w:r>
        <w:rPr/>
      </w:r>
    </w:p>
    <w:tbl>
      <w:tblPr>
        <w:tblW w:w="14935" w:type="dxa"/>
        <w:jc w:val="left"/>
        <w:tblInd w:w="0" w:type="dxa"/>
        <w:tblLayout w:type="fixed"/>
        <w:tblCellMar>
          <w:top w:w="0" w:type="dxa"/>
          <w:left w:w="0" w:type="dxa"/>
          <w:bottom w:w="0" w:type="dxa"/>
          <w:right w:w="0" w:type="dxa"/>
        </w:tblCellMar>
      </w:tblPr>
      <w:tblGrid>
        <w:gridCol w:w="800"/>
        <w:gridCol w:w="60"/>
        <w:gridCol w:w="1790"/>
        <w:gridCol w:w="60"/>
        <w:gridCol w:w="2105"/>
        <w:gridCol w:w="60"/>
        <w:gridCol w:w="137"/>
        <w:gridCol w:w="1008"/>
        <w:gridCol w:w="275"/>
        <w:gridCol w:w="60"/>
        <w:gridCol w:w="1100"/>
        <w:gridCol w:w="60"/>
        <w:gridCol w:w="755"/>
        <w:gridCol w:w="60"/>
        <w:gridCol w:w="60"/>
        <w:gridCol w:w="1085"/>
        <w:gridCol w:w="60"/>
        <w:gridCol w:w="60"/>
        <w:gridCol w:w="60"/>
        <w:gridCol w:w="875"/>
        <w:gridCol w:w="60"/>
        <w:gridCol w:w="60"/>
        <w:gridCol w:w="77"/>
        <w:gridCol w:w="873"/>
        <w:gridCol w:w="60"/>
        <w:gridCol w:w="60"/>
        <w:gridCol w:w="60"/>
        <w:gridCol w:w="680"/>
        <w:gridCol w:w="60"/>
        <w:gridCol w:w="60"/>
        <w:gridCol w:w="70"/>
        <w:gridCol w:w="805"/>
        <w:gridCol w:w="60"/>
        <w:gridCol w:w="60"/>
        <w:gridCol w:w="321"/>
        <w:gridCol w:w="749"/>
        <w:gridCol w:w="290"/>
      </w:tblGrid>
      <w:tr>
        <w:trPr/>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0"/>
              <w:jc w:val="left"/>
              <w:rPr>
                <w:rFonts w:ascii="Times New Roman" w:hAnsi="Times New Roman"/>
                <w:b/>
                <w:sz w:val="13"/>
              </w:rPr>
            </w:pPr>
            <w:r>
              <w:rPr>
                <w:rFonts w:ascii="Times New Roman" w:hAnsi="Times New Roman"/>
                <w:b/>
                <w:sz w:val="13"/>
              </w:rPr>
              <w:t>Portfolio Company (a)(b)</w:t>
            </w:r>
          </w:p>
          <w:p>
            <w:pPr>
              <w:pStyle w:val="TableContents"/>
              <w:bidi w:val="0"/>
              <w:spacing w:before="0" w:after="0"/>
              <w:jc w:val="left"/>
              <w:rPr/>
            </w:pPr>
            <w:r>
              <w:rPr/>
              <w:t> </w:t>
            </w:r>
          </w:p>
          <w:p>
            <w:pPr>
              <w:pStyle w:val="TableContents"/>
              <w:pBdr>
                <w:bottom w:val="single" w:sz="8" w:space="1" w:color="000000"/>
              </w:pBdr>
              <w:bidi w:val="0"/>
              <w:spacing w:before="0" w:after="20"/>
              <w:jc w:val="left"/>
              <w:rPr>
                <w:rFonts w:ascii="Times New Roman" w:hAnsi="Times New Roman"/>
                <w:b/>
                <w:sz w:val="13"/>
              </w:rPr>
            </w:pPr>
            <w:r>
              <w:rPr>
                <w:rFonts w:ascii="Times New Roman" w:hAnsi="Times New Roman"/>
                <w:b/>
                <w:sz w:val="13"/>
              </w:rPr>
              <w:t>Address of Portfolio Company</w:t>
            </w:r>
          </w:p>
        </w:tc>
        <w:tc>
          <w:tcPr>
            <w:tcW w:w="60" w:type="dxa"/>
            <w:tcBorders/>
            <w:vAlign w:val="center"/>
          </w:tcPr>
          <w:p>
            <w:pPr>
              <w:pStyle w:val="TableContents"/>
              <w:bidi w:val="0"/>
              <w:spacing w:before="0" w:after="283"/>
              <w:jc w:val="left"/>
              <w:rPr/>
            </w:pPr>
            <w:r>
              <w:rPr/>
              <w:t> </w:t>
            </w:r>
          </w:p>
        </w:tc>
        <w:tc>
          <w:tcPr>
            <w:tcW w:w="179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Investment Type (c)</w:t>
            </w:r>
          </w:p>
        </w:tc>
        <w:tc>
          <w:tcPr>
            <w:tcW w:w="60" w:type="dxa"/>
            <w:tcBorders/>
            <w:vAlign w:val="center"/>
          </w:tcPr>
          <w:p>
            <w:pPr>
              <w:pStyle w:val="TableContents"/>
              <w:bidi w:val="0"/>
              <w:spacing w:before="0" w:after="283"/>
              <w:jc w:val="left"/>
              <w:rPr/>
            </w:pPr>
            <w:r>
              <w:rPr/>
              <w:t> </w:t>
            </w:r>
          </w:p>
        </w:tc>
        <w:tc>
          <w:tcPr>
            <w:tcW w:w="210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Industry</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 Class</w:t>
              <w:br/>
              <w:t>Held (aw)</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Variable</w:t>
              <w:br/>
              <w:t>Index Spread</w:t>
              <w:br/>
              <w:t>/ Floor (d)</w:t>
            </w:r>
          </w:p>
        </w:tc>
        <w:tc>
          <w:tcPr>
            <w:tcW w:w="60" w:type="dxa"/>
            <w:tcBorders/>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Rate (e)</w:t>
              <w:br/>
              <w:t>Cash/PIK</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Investment</w:t>
              <w:br/>
              <w:t>Date (f)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Maturity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Principal</w:t>
              <w:b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Value (g)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 of</w:t>
              <w:br/>
              <w:t>Net Assets</w:t>
            </w:r>
          </w:p>
        </w:tc>
        <w:tc>
          <w:tcPr>
            <w:tcW w:w="290"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sz w:val="4"/>
                <w:szCs w:val="4"/>
              </w:rPr>
            </w:pPr>
            <w:r>
              <w:rPr>
                <w:sz w:val="4"/>
                <w:szCs w:val="4"/>
              </w:rPr>
            </w:r>
          </w:p>
        </w:tc>
        <w:tc>
          <w:tcPr>
            <w:tcW w:w="1850" w:type="dxa"/>
            <w:gridSpan w:val="2"/>
            <w:tcBorders/>
            <w:vAlign w:val="center"/>
          </w:tcPr>
          <w:p>
            <w:pPr>
              <w:pStyle w:val="TableContents"/>
              <w:bidi w:val="0"/>
              <w:spacing w:before="0" w:after="283"/>
              <w:jc w:val="left"/>
              <w:rPr>
                <w:sz w:val="4"/>
                <w:szCs w:val="4"/>
              </w:rPr>
            </w:pPr>
            <w:r>
              <w:rPr>
                <w:sz w:val="4"/>
                <w:szCs w:val="4"/>
              </w:rPr>
            </w:r>
          </w:p>
        </w:tc>
        <w:tc>
          <w:tcPr>
            <w:tcW w:w="216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1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00"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CIH Intermediate, LLC</w:t>
            </w:r>
          </w:p>
        </w:tc>
        <w:tc>
          <w:tcPr>
            <w:tcW w:w="60"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105" w:type="dxa"/>
            <w:tcBorders/>
            <w:shd w:fill="CCEEFF" w:val="clear"/>
            <w:vAlign w:val="center"/>
          </w:tcPr>
          <w:p>
            <w:pPr>
              <w:pStyle w:val="TableContents"/>
              <w:bidi w:val="0"/>
              <w:spacing w:before="0" w:after="283"/>
              <w:jc w:val="left"/>
              <w:rPr/>
            </w:pPr>
            <w:r>
              <w:rPr/>
              <w:t>Business Services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Subordinated Debt (k)</w:t>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10.00%/1.00%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3/3/2022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3/3/2028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13,927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13,838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13,927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pPr>
            <w:r>
              <w:rPr/>
              <w:t>Common Equity (563 shares) (j)</w:t>
            </w:r>
          </w:p>
        </w:tc>
        <w:tc>
          <w:tcPr>
            <w:tcW w:w="60" w:type="dxa"/>
            <w:tcBorders/>
            <w:shd w:fill="CCEEFF" w:val="clear"/>
            <w:vAlign w:val="center"/>
          </w:tcPr>
          <w:p>
            <w:pPr>
              <w:pStyle w:val="TableContents"/>
              <w:bidi w:val="0"/>
              <w:spacing w:before="0" w:after="283"/>
              <w:jc w:val="left"/>
              <w:rPr/>
            </w:pPr>
            <w:r>
              <w:rPr/>
              <w:t> </w:t>
            </w:r>
          </w:p>
        </w:tc>
        <w:tc>
          <w:tcPr>
            <w:tcW w:w="21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0.50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3/3/2022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1,758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Preferred Equity (563 shares) (j)</w:t>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3/3/2022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939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1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14,638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16,624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3</w:t>
            </w:r>
          </w:p>
        </w:tc>
        <w:tc>
          <w:tcPr>
            <w:tcW w:w="290" w:type="dxa"/>
            <w:tcBorders/>
            <w:shd w:fill="CCEEFF" w:val="clear"/>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sz w:val="4"/>
                <w:szCs w:val="4"/>
              </w:rPr>
            </w:pPr>
            <w:r>
              <w:rPr>
                <w:sz w:val="4"/>
                <w:szCs w:val="4"/>
              </w:rPr>
            </w:r>
          </w:p>
        </w:tc>
        <w:tc>
          <w:tcPr>
            <w:tcW w:w="1850" w:type="dxa"/>
            <w:gridSpan w:val="2"/>
            <w:tcBorders/>
            <w:vAlign w:val="center"/>
          </w:tcPr>
          <w:p>
            <w:pPr>
              <w:pStyle w:val="TableContents"/>
              <w:bidi w:val="0"/>
              <w:spacing w:before="0" w:after="283"/>
              <w:jc w:val="left"/>
              <w:rPr>
                <w:sz w:val="4"/>
                <w:szCs w:val="4"/>
              </w:rPr>
            </w:pPr>
            <w:r>
              <w:rPr>
                <w:sz w:val="4"/>
                <w:szCs w:val="4"/>
              </w:rPr>
            </w:r>
          </w:p>
        </w:tc>
        <w:tc>
          <w:tcPr>
            <w:tcW w:w="216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1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Comply365, LLC</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pPr>
            <w:r>
              <w:rPr/>
              <w:t>Aerospace &amp; Defense Manufacturing</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655 Third Street, Suite 365</w:t>
            </w:r>
          </w:p>
        </w:tc>
        <w:tc>
          <w:tcPr>
            <w:tcW w:w="60"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pPr>
            <w:r>
              <w:rPr/>
              <w:t>Common Equity (868,922 units)</w:t>
            </w:r>
          </w:p>
        </w:tc>
        <w:tc>
          <w:tcPr>
            <w:tcW w:w="60" w:type="dxa"/>
            <w:tcBorders/>
            <w:shd w:fill="CCEEFF" w:val="clear"/>
            <w:vAlign w:val="center"/>
          </w:tcPr>
          <w:p>
            <w:pPr>
              <w:pStyle w:val="TableContents"/>
              <w:bidi w:val="0"/>
              <w:spacing w:before="0" w:after="283"/>
              <w:jc w:val="left"/>
              <w:rPr/>
            </w:pPr>
            <w:r>
              <w:rPr/>
              <w:t> </w:t>
            </w:r>
          </w:p>
        </w:tc>
        <w:tc>
          <w:tcPr>
            <w:tcW w:w="21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0.82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12/22/2023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2,576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2,576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0</w:t>
            </w:r>
          </w:p>
        </w:tc>
        <w:tc>
          <w:tcPr>
            <w:tcW w:w="290" w:type="dxa"/>
            <w:tcBorders/>
            <w:shd w:fill="CCEEFF" w:val="clear"/>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Beloit, WI 53511</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283"/>
              <w:jc w:val="left"/>
              <w:rPr>
                <w:sz w:val="4"/>
                <w:szCs w:val="4"/>
              </w:rPr>
            </w:pPr>
            <w:r>
              <w:rPr>
                <w:sz w:val="4"/>
                <w:szCs w:val="4"/>
              </w:rPr>
            </w:r>
          </w:p>
        </w:tc>
        <w:tc>
          <w:tcPr>
            <w:tcW w:w="1850" w:type="dxa"/>
            <w:gridSpan w:val="2"/>
            <w:tcBorders/>
            <w:vAlign w:val="center"/>
          </w:tcPr>
          <w:p>
            <w:pPr>
              <w:pStyle w:val="TableContents"/>
              <w:bidi w:val="0"/>
              <w:spacing w:before="0" w:after="283"/>
              <w:jc w:val="left"/>
              <w:rPr>
                <w:sz w:val="4"/>
                <w:szCs w:val="4"/>
              </w:rPr>
            </w:pPr>
            <w:r>
              <w:rPr>
                <w:sz w:val="4"/>
                <w:szCs w:val="4"/>
              </w:rPr>
            </w:r>
          </w:p>
        </w:tc>
        <w:tc>
          <w:tcPr>
            <w:tcW w:w="216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1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00"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CRS Solutions Holdings, LLC (dba CRS Texas)</w:t>
            </w:r>
          </w:p>
        </w:tc>
        <w:tc>
          <w:tcPr>
            <w:tcW w:w="60"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105" w:type="dxa"/>
            <w:tcBorders/>
            <w:shd w:fill="CCEEFF" w:val="clear"/>
            <w:vAlign w:val="center"/>
          </w:tcPr>
          <w:p>
            <w:pPr>
              <w:pStyle w:val="TableContents"/>
              <w:bidi w:val="0"/>
              <w:spacing w:before="0" w:after="283"/>
              <w:jc w:val="left"/>
              <w:rPr/>
            </w:pPr>
            <w:r>
              <w:rPr/>
              <w:t>Business Services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5300 Memorial Dr., Suite 300</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Common Equity (574,929 units) (h)(j)</w:t>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0.15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6/28/2022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272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44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0</w:t>
            </w:r>
          </w:p>
        </w:tc>
        <w:tc>
          <w:tcPr>
            <w:tcW w:w="290" w:type="dxa"/>
            <w:tcBorders/>
            <w:vAlign w:val="center"/>
          </w:tcPr>
          <w:p>
            <w:pPr>
              <w:pStyle w:val="TableContents"/>
              <w:bidi w:val="0"/>
              <w:spacing w:before="0" w:after="283"/>
              <w:jc w:val="left"/>
              <w:rPr/>
            </w:pPr>
            <w:r>
              <w:rPr/>
              <w:t>% </w:t>
            </w:r>
          </w:p>
        </w:tc>
      </w:tr>
      <w:tr>
        <w:trPr/>
        <w:tc>
          <w:tcPr>
            <w:tcW w:w="80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Houston, TX 77007</w:t>
            </w:r>
          </w:p>
        </w:tc>
        <w:tc>
          <w:tcPr>
            <w:tcW w:w="60"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1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283"/>
              <w:jc w:val="left"/>
              <w:rPr>
                <w:sz w:val="4"/>
                <w:szCs w:val="4"/>
              </w:rPr>
            </w:pPr>
            <w:r>
              <w:rPr>
                <w:sz w:val="4"/>
                <w:szCs w:val="4"/>
              </w:rPr>
            </w:r>
          </w:p>
        </w:tc>
        <w:tc>
          <w:tcPr>
            <w:tcW w:w="1850" w:type="dxa"/>
            <w:gridSpan w:val="2"/>
            <w:tcBorders/>
            <w:vAlign w:val="center"/>
          </w:tcPr>
          <w:p>
            <w:pPr>
              <w:pStyle w:val="TableContents"/>
              <w:bidi w:val="0"/>
              <w:spacing w:before="0" w:after="283"/>
              <w:jc w:val="left"/>
              <w:rPr>
                <w:sz w:val="4"/>
                <w:szCs w:val="4"/>
              </w:rPr>
            </w:pPr>
            <w:r>
              <w:rPr>
                <w:sz w:val="4"/>
                <w:szCs w:val="4"/>
              </w:rPr>
            </w:r>
          </w:p>
        </w:tc>
        <w:tc>
          <w:tcPr>
            <w:tcW w:w="216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1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CTM Group, Inc.</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pPr>
            <w:r>
              <w:rPr/>
              <w:t>Business Services</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5 Industrial Way, Suite 1A</w:t>
            </w:r>
          </w:p>
        </w:tc>
        <w:tc>
          <w:tcPr>
            <w:tcW w:w="60"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pPr>
            <w:r>
              <w:rPr/>
              <w:t>First Lien Debt</w:t>
            </w:r>
          </w:p>
        </w:tc>
        <w:tc>
          <w:tcPr>
            <w:tcW w:w="60" w:type="dxa"/>
            <w:tcBorders/>
            <w:shd w:fill="CCEEFF" w:val="clear"/>
            <w:vAlign w:val="center"/>
          </w:tcPr>
          <w:p>
            <w:pPr>
              <w:pStyle w:val="TableContents"/>
              <w:bidi w:val="0"/>
              <w:spacing w:before="0" w:after="283"/>
              <w:jc w:val="left"/>
              <w:rPr/>
            </w:pPr>
            <w:r>
              <w:rPr/>
              <w:t> </w:t>
            </w:r>
          </w:p>
        </w:tc>
        <w:tc>
          <w:tcPr>
            <w:tcW w:w="21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pPr>
            <w:r>
              <w:rPr/>
              <w:t>(S + 6.75%) / (1.00%)</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12.24%/0.00%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2/28/2023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11/30/2026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7,920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7,806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7,907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Salem, NH 03079</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Subordinated Debt</w:t>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11.50%/2.00%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2/28/2023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11/30/2027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2,045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1,989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pPr>
            <w:r>
              <w:rPr/>
              <w:t>Common Equity (400,000 units)</w:t>
            </w:r>
          </w:p>
        </w:tc>
        <w:tc>
          <w:tcPr>
            <w:tcW w:w="60" w:type="dxa"/>
            <w:tcBorders/>
            <w:shd w:fill="CCEEFF" w:val="clear"/>
            <w:vAlign w:val="center"/>
          </w:tcPr>
          <w:p>
            <w:pPr>
              <w:pStyle w:val="TableContents"/>
              <w:bidi w:val="0"/>
              <w:spacing w:before="0" w:after="283"/>
              <w:jc w:val="left"/>
              <w:rPr/>
            </w:pPr>
            <w:r>
              <w:rPr/>
              <w:t> </w:t>
            </w:r>
          </w:p>
        </w:tc>
        <w:tc>
          <w:tcPr>
            <w:tcW w:w="21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0.18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2/28/2023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303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10,231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10,199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2</w:t>
            </w:r>
          </w:p>
        </w:tc>
        <w:tc>
          <w:tcPr>
            <w:tcW w:w="290"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sz w:val="4"/>
                <w:szCs w:val="4"/>
              </w:rPr>
            </w:pPr>
            <w:r>
              <w:rPr>
                <w:sz w:val="4"/>
                <w:szCs w:val="4"/>
              </w:rPr>
            </w:r>
          </w:p>
        </w:tc>
        <w:tc>
          <w:tcPr>
            <w:tcW w:w="1850" w:type="dxa"/>
            <w:gridSpan w:val="2"/>
            <w:tcBorders/>
            <w:vAlign w:val="center"/>
          </w:tcPr>
          <w:p>
            <w:pPr>
              <w:pStyle w:val="TableContents"/>
              <w:bidi w:val="0"/>
              <w:spacing w:before="0" w:after="283"/>
              <w:jc w:val="left"/>
              <w:rPr>
                <w:sz w:val="4"/>
                <w:szCs w:val="4"/>
              </w:rPr>
            </w:pPr>
            <w:r>
              <w:rPr>
                <w:sz w:val="4"/>
                <w:szCs w:val="4"/>
              </w:rPr>
            </w:r>
          </w:p>
        </w:tc>
        <w:tc>
          <w:tcPr>
            <w:tcW w:w="216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1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00"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Dataguise, Inc.</w:t>
            </w:r>
          </w:p>
        </w:tc>
        <w:tc>
          <w:tcPr>
            <w:tcW w:w="60"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105" w:type="dxa"/>
            <w:tcBorders/>
            <w:shd w:fill="CCEEFF" w:val="clear"/>
            <w:vAlign w:val="center"/>
          </w:tcPr>
          <w:p>
            <w:pPr>
              <w:pStyle w:val="TableContents"/>
              <w:bidi w:val="0"/>
              <w:spacing w:before="0" w:after="283"/>
              <w:jc w:val="left"/>
              <w:rPr/>
            </w:pPr>
            <w:r>
              <w:rPr/>
              <w:t>Information Technology Services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39650 Liberty St Suite 400</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Subordinated Debt (j)</w:t>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11.00%/2.00%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12/30/2022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11/23/2027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21,985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21,948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21,985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Fremont, CA 94538</w:t>
            </w:r>
          </w:p>
        </w:tc>
        <w:tc>
          <w:tcPr>
            <w:tcW w:w="60"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pPr>
            <w:r>
              <w:rPr/>
              <w:t>Common Equity (909 shares) (j)</w:t>
            </w:r>
          </w:p>
        </w:tc>
        <w:tc>
          <w:tcPr>
            <w:tcW w:w="60" w:type="dxa"/>
            <w:tcBorders/>
            <w:shd w:fill="CCEEFF" w:val="clear"/>
            <w:vAlign w:val="center"/>
          </w:tcPr>
          <w:p>
            <w:pPr>
              <w:pStyle w:val="TableContents"/>
              <w:bidi w:val="0"/>
              <w:spacing w:before="0" w:after="283"/>
              <w:jc w:val="left"/>
              <w:rPr/>
            </w:pPr>
            <w:r>
              <w:rPr/>
              <w:t> </w:t>
            </w:r>
          </w:p>
        </w:tc>
        <w:tc>
          <w:tcPr>
            <w:tcW w:w="21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0.88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12/31/2020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1,267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23,448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23,252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4</w:t>
            </w:r>
          </w:p>
        </w:tc>
        <w:tc>
          <w:tcPr>
            <w:tcW w:w="290"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sz w:val="4"/>
                <w:szCs w:val="4"/>
              </w:rPr>
            </w:pPr>
            <w:r>
              <w:rPr>
                <w:sz w:val="4"/>
                <w:szCs w:val="4"/>
              </w:rPr>
            </w:r>
          </w:p>
        </w:tc>
        <w:tc>
          <w:tcPr>
            <w:tcW w:w="1850" w:type="dxa"/>
            <w:gridSpan w:val="2"/>
            <w:tcBorders/>
            <w:vAlign w:val="center"/>
          </w:tcPr>
          <w:p>
            <w:pPr>
              <w:pStyle w:val="TableContents"/>
              <w:bidi w:val="0"/>
              <w:spacing w:before="0" w:after="283"/>
              <w:jc w:val="left"/>
              <w:rPr>
                <w:sz w:val="4"/>
                <w:szCs w:val="4"/>
              </w:rPr>
            </w:pPr>
            <w:r>
              <w:rPr>
                <w:sz w:val="4"/>
                <w:szCs w:val="4"/>
              </w:rPr>
            </w:r>
          </w:p>
        </w:tc>
        <w:tc>
          <w:tcPr>
            <w:tcW w:w="216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1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00"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Dealerbuilt Acquisition, LLC</w:t>
            </w:r>
          </w:p>
        </w:tc>
        <w:tc>
          <w:tcPr>
            <w:tcW w:w="60"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105" w:type="dxa"/>
            <w:tcBorders/>
            <w:shd w:fill="CCEEFF" w:val="clear"/>
            <w:vAlign w:val="center"/>
          </w:tcPr>
          <w:p>
            <w:pPr>
              <w:pStyle w:val="TableContents"/>
              <w:bidi w:val="0"/>
              <w:spacing w:before="0" w:after="283"/>
              <w:jc w:val="left"/>
              <w:rPr/>
            </w:pPr>
            <w:r>
              <w:rPr/>
              <w:t>Information Technology Services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1225 South Main Street, Suite 201</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First Lien Debt (ac)</w:t>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(S + 5.75%) / (4.00%)</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11.08%/1.00%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7/21/2023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7/21/2026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13,207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13,132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13,207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Grapevine, TX 76051</w:t>
            </w:r>
          </w:p>
        </w:tc>
        <w:tc>
          <w:tcPr>
            <w:tcW w:w="60"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pPr>
            <w:r>
              <w:rPr/>
              <w:t>Subordinated Debt (j)</w:t>
            </w:r>
          </w:p>
        </w:tc>
        <w:tc>
          <w:tcPr>
            <w:tcW w:w="60" w:type="dxa"/>
            <w:tcBorders/>
            <w:shd w:fill="CCEEFF" w:val="clear"/>
            <w:vAlign w:val="center"/>
          </w:tcPr>
          <w:p>
            <w:pPr>
              <w:pStyle w:val="TableContents"/>
              <w:bidi w:val="0"/>
              <w:spacing w:before="0" w:after="283"/>
              <w:jc w:val="left"/>
              <w:rPr/>
            </w:pPr>
            <w:r>
              <w:rPr/>
              <w:t> </w:t>
            </w:r>
          </w:p>
        </w:tc>
        <w:tc>
          <w:tcPr>
            <w:tcW w:w="21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7.50%/7.50%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7/21/2023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1/21/2027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5,270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5,245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5,271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Common Equity (1,000 Units) (h)(j)</w:t>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0.94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7/21/2023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pPr>
            <w:r>
              <w:rPr/>
              <w:t>Preferred Equity (1,000 Units) (h)(j)</w:t>
            </w:r>
          </w:p>
        </w:tc>
        <w:tc>
          <w:tcPr>
            <w:tcW w:w="60" w:type="dxa"/>
            <w:tcBorders/>
            <w:shd w:fill="CCEEFF" w:val="clear"/>
            <w:vAlign w:val="center"/>
          </w:tcPr>
          <w:p>
            <w:pPr>
              <w:pStyle w:val="TableContents"/>
              <w:bidi w:val="0"/>
              <w:spacing w:before="0" w:after="283"/>
              <w:jc w:val="left"/>
              <w:rPr/>
            </w:pPr>
            <w:r>
              <w:rPr/>
              <w:t> </w:t>
            </w:r>
          </w:p>
        </w:tc>
        <w:tc>
          <w:tcPr>
            <w:tcW w:w="21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7/21/2023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1,002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19,377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19,480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3</w:t>
            </w:r>
          </w:p>
        </w:tc>
        <w:tc>
          <w:tcPr>
            <w:tcW w:w="290"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sz w:val="4"/>
                <w:szCs w:val="4"/>
              </w:rPr>
            </w:pPr>
            <w:r>
              <w:rPr>
                <w:sz w:val="4"/>
                <w:szCs w:val="4"/>
              </w:rPr>
            </w:r>
          </w:p>
        </w:tc>
        <w:tc>
          <w:tcPr>
            <w:tcW w:w="1850" w:type="dxa"/>
            <w:gridSpan w:val="2"/>
            <w:tcBorders/>
            <w:vAlign w:val="center"/>
          </w:tcPr>
          <w:p>
            <w:pPr>
              <w:pStyle w:val="TableContents"/>
              <w:bidi w:val="0"/>
              <w:spacing w:before="0" w:after="283"/>
              <w:jc w:val="left"/>
              <w:rPr>
                <w:sz w:val="4"/>
                <w:szCs w:val="4"/>
              </w:rPr>
            </w:pPr>
            <w:r>
              <w:rPr>
                <w:sz w:val="4"/>
                <w:szCs w:val="4"/>
              </w:rPr>
            </w:r>
          </w:p>
        </w:tc>
        <w:tc>
          <w:tcPr>
            <w:tcW w:w="216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1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00"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Detechtion Holdings, LLC</w:t>
            </w:r>
          </w:p>
        </w:tc>
        <w:tc>
          <w:tcPr>
            <w:tcW w:w="60"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105" w:type="dxa"/>
            <w:tcBorders/>
            <w:shd w:fill="CCEEFF" w:val="clear"/>
            <w:vAlign w:val="center"/>
          </w:tcPr>
          <w:p>
            <w:pPr>
              <w:pStyle w:val="TableContents"/>
              <w:bidi w:val="0"/>
              <w:spacing w:before="0" w:after="283"/>
              <w:jc w:val="left"/>
              <w:rPr/>
            </w:pPr>
            <w:r>
              <w:rPr/>
              <w:t>Information Technology Services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8 Greenway Plaza, Suite 1300</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First Lien Debt (k)</w:t>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(S + 5.75%) / (2.25%)</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11.08%/2.00%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6/21/2023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6/21/2028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17,779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17,691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17,779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Houston, TX 77046</w:t>
            </w:r>
          </w:p>
        </w:tc>
        <w:tc>
          <w:tcPr>
            <w:tcW w:w="60"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pPr>
            <w:r>
              <w:rPr/>
              <w:t>Subordinated Debt (j)</w:t>
            </w:r>
          </w:p>
        </w:tc>
        <w:tc>
          <w:tcPr>
            <w:tcW w:w="60" w:type="dxa"/>
            <w:tcBorders/>
            <w:shd w:fill="CCEEFF" w:val="clear"/>
            <w:vAlign w:val="center"/>
          </w:tcPr>
          <w:p>
            <w:pPr>
              <w:pStyle w:val="TableContents"/>
              <w:bidi w:val="0"/>
              <w:spacing w:before="0" w:after="283"/>
              <w:jc w:val="left"/>
              <w:rPr/>
            </w:pPr>
            <w:r>
              <w:rPr/>
              <w:t> </w:t>
            </w:r>
          </w:p>
        </w:tc>
        <w:tc>
          <w:tcPr>
            <w:tcW w:w="21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0.00%/14.00%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6/21/2023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6/21/2028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2,230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2,221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2,230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Common Equity (500,000 units) (h)(j)</w:t>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1.64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6/21/2023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563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1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20,412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20,572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3</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bidi w:val="0"/>
        <w:jc w:val="left"/>
        <w:rPr/>
      </w:pPr>
      <w:r>
        <w:rPr/>
      </w:r>
    </w:p>
    <w:tbl>
      <w:tblPr>
        <w:tblW w:w="14010" w:type="dxa"/>
        <w:jc w:val="left"/>
        <w:tblInd w:w="0" w:type="dxa"/>
        <w:tblLayout w:type="fixed"/>
        <w:tblCellMar>
          <w:top w:w="0" w:type="dxa"/>
          <w:left w:w="0" w:type="dxa"/>
          <w:bottom w:w="0" w:type="dxa"/>
          <w:right w:w="0" w:type="dxa"/>
        </w:tblCellMar>
      </w:tblPr>
      <w:tblGrid>
        <w:gridCol w:w="875"/>
        <w:gridCol w:w="60"/>
        <w:gridCol w:w="1655"/>
        <w:gridCol w:w="60"/>
        <w:gridCol w:w="1415"/>
        <w:gridCol w:w="60"/>
        <w:gridCol w:w="137"/>
        <w:gridCol w:w="1008"/>
        <w:gridCol w:w="275"/>
        <w:gridCol w:w="60"/>
        <w:gridCol w:w="830"/>
        <w:gridCol w:w="60"/>
        <w:gridCol w:w="755"/>
        <w:gridCol w:w="60"/>
        <w:gridCol w:w="60"/>
        <w:gridCol w:w="1085"/>
        <w:gridCol w:w="60"/>
        <w:gridCol w:w="60"/>
        <w:gridCol w:w="60"/>
        <w:gridCol w:w="875"/>
        <w:gridCol w:w="60"/>
        <w:gridCol w:w="60"/>
        <w:gridCol w:w="77"/>
        <w:gridCol w:w="873"/>
        <w:gridCol w:w="60"/>
        <w:gridCol w:w="60"/>
        <w:gridCol w:w="60"/>
        <w:gridCol w:w="680"/>
        <w:gridCol w:w="155"/>
        <w:gridCol w:w="60"/>
        <w:gridCol w:w="70"/>
        <w:gridCol w:w="805"/>
        <w:gridCol w:w="60"/>
        <w:gridCol w:w="60"/>
        <w:gridCol w:w="321"/>
        <w:gridCol w:w="749"/>
        <w:gridCol w:w="290"/>
      </w:tblGrid>
      <w:tr>
        <w:trPr/>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0"/>
              <w:jc w:val="left"/>
              <w:rPr>
                <w:rFonts w:ascii="Times New Roman" w:hAnsi="Times New Roman"/>
                <w:b/>
                <w:sz w:val="13"/>
              </w:rPr>
            </w:pPr>
            <w:r>
              <w:rPr>
                <w:rFonts w:ascii="Times New Roman" w:hAnsi="Times New Roman"/>
                <w:b/>
                <w:sz w:val="13"/>
              </w:rPr>
              <w:t>Portfolio Company (a)(b)</w:t>
            </w:r>
          </w:p>
          <w:p>
            <w:pPr>
              <w:pStyle w:val="TableContents"/>
              <w:bidi w:val="0"/>
              <w:spacing w:before="0" w:after="0"/>
              <w:jc w:val="left"/>
              <w:rPr/>
            </w:pPr>
            <w:r>
              <w:rPr/>
              <w:t> </w:t>
            </w:r>
          </w:p>
          <w:p>
            <w:pPr>
              <w:pStyle w:val="TableContents"/>
              <w:pBdr>
                <w:bottom w:val="single" w:sz="8" w:space="1" w:color="000000"/>
              </w:pBdr>
              <w:bidi w:val="0"/>
              <w:spacing w:before="0" w:after="20"/>
              <w:jc w:val="left"/>
              <w:rPr>
                <w:rFonts w:ascii="Times New Roman" w:hAnsi="Times New Roman"/>
                <w:b/>
                <w:sz w:val="13"/>
              </w:rPr>
            </w:pPr>
            <w:r>
              <w:rPr>
                <w:rFonts w:ascii="Times New Roman" w:hAnsi="Times New Roman"/>
                <w:b/>
                <w:sz w:val="13"/>
              </w:rPr>
              <w:t>Address of Portfolio Company</w:t>
            </w:r>
          </w:p>
        </w:tc>
        <w:tc>
          <w:tcPr>
            <w:tcW w:w="60" w:type="dxa"/>
            <w:tcBorders/>
            <w:vAlign w:val="center"/>
          </w:tcPr>
          <w:p>
            <w:pPr>
              <w:pStyle w:val="TableContents"/>
              <w:bidi w:val="0"/>
              <w:spacing w:before="0" w:after="283"/>
              <w:jc w:val="left"/>
              <w:rPr/>
            </w:pPr>
            <w:r>
              <w:rPr/>
              <w:t> </w:t>
            </w:r>
          </w:p>
        </w:tc>
        <w:tc>
          <w:tcPr>
            <w:tcW w:w="16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Investment Type (c)</w:t>
            </w:r>
          </w:p>
        </w:tc>
        <w:tc>
          <w:tcPr>
            <w:tcW w:w="60" w:type="dxa"/>
            <w:tcBorders/>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Industry</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 Class</w:t>
              <w:br/>
              <w:t>Held (aw)</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Variable</w:t>
              <w:br/>
              <w:t>Index Spread</w:t>
              <w:br/>
              <w:t>/ Floor (d)</w:t>
            </w:r>
          </w:p>
        </w:tc>
        <w:tc>
          <w:tcPr>
            <w:tcW w:w="60" w:type="dxa"/>
            <w:tcBorders/>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Rate (e)</w:t>
              <w:br/>
              <w:t>Cash/PIK</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Investment</w:t>
              <w:br/>
              <w:t>Date (f)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Maturity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Principal</w:t>
              <w:b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Cost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Value (g)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 of</w:t>
              <w:br/>
              <w:t>Net Assets</w:t>
            </w:r>
          </w:p>
        </w:tc>
        <w:tc>
          <w:tcPr>
            <w:tcW w:w="290"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sz w:val="4"/>
                <w:szCs w:val="4"/>
              </w:rPr>
            </w:pPr>
            <w:r>
              <w:rPr>
                <w:sz w:val="4"/>
                <w:szCs w:val="4"/>
              </w:rPr>
            </w:r>
          </w:p>
        </w:tc>
        <w:tc>
          <w:tcPr>
            <w:tcW w:w="1715"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955"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75"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Diversified Search LLC</w:t>
            </w:r>
          </w:p>
        </w:tc>
        <w:tc>
          <w:tcPr>
            <w:tcW w:w="60"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Business Services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2005 Market St.</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r>
              <w:rPr/>
              <w:t>First Lien Debt (k)(r)</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(S + 7.25%) / (1.00%)</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12.81%/0.00%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2/7/2019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9/30/2025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24,155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24,093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24,155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7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Philadelphia, PA 19103</w:t>
            </w:r>
          </w:p>
        </w:tc>
        <w:tc>
          <w:tcPr>
            <w:tcW w:w="60"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left"/>
              <w:rPr/>
            </w:pPr>
            <w:r>
              <w:rPr/>
              <w:t>Common Equity (573 units) (h)(j)</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1.40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2/7/2019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552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453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24,645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24,608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5</w:t>
            </w:r>
          </w:p>
        </w:tc>
        <w:tc>
          <w:tcPr>
            <w:tcW w:w="290"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sz w:val="4"/>
                <w:szCs w:val="4"/>
              </w:rPr>
            </w:pPr>
            <w:r>
              <w:rPr>
                <w:sz w:val="4"/>
                <w:szCs w:val="4"/>
              </w:rPr>
            </w:r>
          </w:p>
        </w:tc>
        <w:tc>
          <w:tcPr>
            <w:tcW w:w="1715"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955"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75"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Donovan Food Brokerage, LLC</w:t>
            </w:r>
          </w:p>
        </w:tc>
        <w:tc>
          <w:tcPr>
            <w:tcW w:w="60"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Business Services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231 Woodland Lake Dr</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r>
              <w:rPr/>
              <w:t>First Lien Debt</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(S + 6.50%) / (2.00%)</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11.82%/0.00%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2/23/2024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2/23/2029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10,000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9,951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9,951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7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Cordova, TN 38018</w:t>
            </w:r>
          </w:p>
        </w:tc>
        <w:tc>
          <w:tcPr>
            <w:tcW w:w="60"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left"/>
              <w:rPr/>
            </w:pPr>
            <w:r>
              <w:rPr/>
              <w:t>Revolving Loan ($1,000 unfunded commitment) (i)(j)</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(S + 6.50%) / (2.00%)</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11.82%/0.00%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2/23/2024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2/23/2029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r>
              <w:rPr/>
              <w:t>Common Equity (500,000 units) (j)</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2.30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2/23/2024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10,446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10,451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2</w:t>
            </w:r>
          </w:p>
        </w:tc>
        <w:tc>
          <w:tcPr>
            <w:tcW w:w="290" w:type="dxa"/>
            <w:tcBorders/>
            <w:shd w:fill="CCEEFF" w:val="clear"/>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sz w:val="4"/>
                <w:szCs w:val="4"/>
              </w:rPr>
            </w:pPr>
            <w:r>
              <w:rPr>
                <w:sz w:val="4"/>
                <w:szCs w:val="4"/>
              </w:rPr>
            </w:r>
          </w:p>
        </w:tc>
        <w:tc>
          <w:tcPr>
            <w:tcW w:w="1715"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955"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Education Incites, LLC (dba Acceleration Academies)</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Business Services</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7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910 Van Buren Street, Suite 315</w:t>
            </w:r>
          </w:p>
        </w:tc>
        <w:tc>
          <w:tcPr>
            <w:tcW w:w="60"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left"/>
              <w:rPr/>
            </w:pPr>
            <w:r>
              <w:rPr/>
              <w:t>Second Lien Debt</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12.75%/0.00%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10/31/2022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10/29/2027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5,979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6,120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1</w:t>
            </w:r>
          </w:p>
        </w:tc>
        <w:tc>
          <w:tcPr>
            <w:tcW w:w="290" w:type="dxa"/>
            <w:tcBorders/>
            <w:shd w:fill="CCEEFF" w:val="clear"/>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Chicago, IL 60607</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283"/>
              <w:jc w:val="left"/>
              <w:rPr>
                <w:sz w:val="4"/>
                <w:szCs w:val="4"/>
              </w:rPr>
            </w:pPr>
            <w:r>
              <w:rPr>
                <w:sz w:val="4"/>
                <w:szCs w:val="4"/>
              </w:rPr>
            </w:r>
          </w:p>
        </w:tc>
        <w:tc>
          <w:tcPr>
            <w:tcW w:w="1715"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955"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75"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Elements Brands, LLC</w:t>
            </w:r>
          </w:p>
        </w:tc>
        <w:tc>
          <w:tcPr>
            <w:tcW w:w="60"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Consumer Products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4444 South Blvd</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r>
              <w:rPr/>
              <w:t>First Lien Debt</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12.25%/0.00%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12/31/2020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12/31/2024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2,018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7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Charlotte, NC 28209</w:t>
            </w:r>
          </w:p>
        </w:tc>
        <w:tc>
          <w:tcPr>
            <w:tcW w:w="60"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left"/>
              <w:rPr/>
            </w:pPr>
            <w:r>
              <w:rPr/>
              <w:t>Revolving Loan (j)</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12/31/2020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12/31/2024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1,500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1,498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3,516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3,525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1</w:t>
            </w:r>
          </w:p>
        </w:tc>
        <w:tc>
          <w:tcPr>
            <w:tcW w:w="290"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sz w:val="4"/>
                <w:szCs w:val="4"/>
              </w:rPr>
            </w:pPr>
            <w:r>
              <w:rPr>
                <w:sz w:val="4"/>
                <w:szCs w:val="4"/>
              </w:rPr>
            </w:r>
          </w:p>
        </w:tc>
        <w:tc>
          <w:tcPr>
            <w:tcW w:w="1715"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955"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75"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Fishbowl Solutions, LLC</w:t>
            </w:r>
          </w:p>
        </w:tc>
        <w:tc>
          <w:tcPr>
            <w:tcW w:w="60"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Information Technology Services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4500 Park Glen Road, Suite 200</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r>
              <w:rPr/>
              <w:t>First Lien Debt (ar)</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(S + 7.75%) / (1.00%)</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13.34%/0.00%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3/25/2022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3/25/2027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14,083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14,018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14,083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2</w:t>
            </w:r>
          </w:p>
        </w:tc>
        <w:tc>
          <w:tcPr>
            <w:tcW w:w="290" w:type="dxa"/>
            <w:tcBorders/>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Minneapolis, MN 55416</w:t>
            </w:r>
          </w:p>
        </w:tc>
        <w:tc>
          <w:tcPr>
            <w:tcW w:w="60"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283"/>
              <w:jc w:val="left"/>
              <w:rPr>
                <w:sz w:val="4"/>
                <w:szCs w:val="4"/>
              </w:rPr>
            </w:pPr>
            <w:r>
              <w:rPr>
                <w:sz w:val="4"/>
                <w:szCs w:val="4"/>
              </w:rPr>
            </w:r>
          </w:p>
        </w:tc>
        <w:tc>
          <w:tcPr>
            <w:tcW w:w="1715"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955"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Global Plasma Solutions, Inc.</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Component Manufacturing</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7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3101 Yorkmont Road, Suite 1500</w:t>
            </w:r>
          </w:p>
        </w:tc>
        <w:tc>
          <w:tcPr>
            <w:tcW w:w="60"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left"/>
              <w:rPr/>
            </w:pPr>
            <w:r>
              <w:rPr/>
              <w:t>Common Equity (515 shares) (j)</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0.23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2/1/2024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Charlotte, NC 28208</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r>
              <w:rPr/>
              <w:t>Common Equity (1,461 shares) (j)</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0.87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9/21/2018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134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261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0</w:t>
            </w:r>
          </w:p>
        </w:tc>
        <w:tc>
          <w:tcPr>
            <w:tcW w:w="290" w:type="dxa"/>
            <w:tcBorders/>
            <w:shd w:fill="CCEEFF" w:val="clear"/>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sz w:val="4"/>
                <w:szCs w:val="4"/>
              </w:rPr>
            </w:pPr>
            <w:r>
              <w:rPr>
                <w:sz w:val="4"/>
                <w:szCs w:val="4"/>
              </w:rPr>
            </w:r>
          </w:p>
        </w:tc>
        <w:tc>
          <w:tcPr>
            <w:tcW w:w="1715"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955"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GMP HVAC, LLC (dba McGee Heating &amp; Air, LLC)</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Utilities: Services</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7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93 Old 29 Highway</w:t>
            </w:r>
          </w:p>
        </w:tc>
        <w:tc>
          <w:tcPr>
            <w:tcW w:w="60"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left"/>
              <w:rPr/>
            </w:pPr>
            <w:r>
              <w:rPr/>
              <w:t>First Lien Debt (j)</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(S + 7.00%) / (2.00%)</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12.33%/0.00%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12/8/2023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12/8/2028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2,984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2,984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Hartwell, GA 30643</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r>
              <w:rPr/>
              <w:t>Revolving Loan ($1,000 unfunded commitment) (i)(j)</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(S + 7.00%) / (2.00%)</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12.33%/0.00%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12/8/2023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12/8/2028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left"/>
              <w:rPr/>
            </w:pPr>
            <w:r>
              <w:rPr/>
              <w:t>Preferred Equity (1,000 units) (h)(j)</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2.90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12/8/2023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3,979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3,984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1</w:t>
            </w:r>
          </w:p>
        </w:tc>
        <w:tc>
          <w:tcPr>
            <w:tcW w:w="29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bidi w:val="0"/>
        <w:jc w:val="left"/>
        <w:rPr/>
      </w:pPr>
      <w:r>
        <w:rPr/>
      </w:r>
    </w:p>
    <w:tbl>
      <w:tblPr>
        <w:tblW w:w="14455" w:type="dxa"/>
        <w:jc w:val="left"/>
        <w:tblInd w:w="0" w:type="dxa"/>
        <w:tblLayout w:type="fixed"/>
        <w:tblCellMar>
          <w:top w:w="0" w:type="dxa"/>
          <w:left w:w="0" w:type="dxa"/>
          <w:bottom w:w="0" w:type="dxa"/>
          <w:right w:w="0" w:type="dxa"/>
        </w:tblCellMar>
      </w:tblPr>
      <w:tblGrid>
        <w:gridCol w:w="845"/>
        <w:gridCol w:w="60"/>
        <w:gridCol w:w="1835"/>
        <w:gridCol w:w="60"/>
        <w:gridCol w:w="1415"/>
        <w:gridCol w:w="60"/>
        <w:gridCol w:w="137"/>
        <w:gridCol w:w="1008"/>
        <w:gridCol w:w="275"/>
        <w:gridCol w:w="60"/>
        <w:gridCol w:w="1220"/>
        <w:gridCol w:w="60"/>
        <w:gridCol w:w="755"/>
        <w:gridCol w:w="60"/>
        <w:gridCol w:w="60"/>
        <w:gridCol w:w="1085"/>
        <w:gridCol w:w="60"/>
        <w:gridCol w:w="60"/>
        <w:gridCol w:w="60"/>
        <w:gridCol w:w="875"/>
        <w:gridCol w:w="60"/>
        <w:gridCol w:w="60"/>
        <w:gridCol w:w="77"/>
        <w:gridCol w:w="873"/>
        <w:gridCol w:w="60"/>
        <w:gridCol w:w="60"/>
        <w:gridCol w:w="60"/>
        <w:gridCol w:w="680"/>
        <w:gridCol w:w="60"/>
        <w:gridCol w:w="60"/>
        <w:gridCol w:w="70"/>
        <w:gridCol w:w="805"/>
        <w:gridCol w:w="60"/>
        <w:gridCol w:w="60"/>
        <w:gridCol w:w="321"/>
        <w:gridCol w:w="749"/>
        <w:gridCol w:w="290"/>
      </w:tblGrid>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0"/>
              <w:jc w:val="left"/>
              <w:rPr>
                <w:rFonts w:ascii="Times New Roman" w:hAnsi="Times New Roman"/>
                <w:b/>
                <w:sz w:val="13"/>
              </w:rPr>
            </w:pPr>
            <w:r>
              <w:rPr>
                <w:rFonts w:ascii="Times New Roman" w:hAnsi="Times New Roman"/>
                <w:b/>
                <w:sz w:val="13"/>
              </w:rPr>
              <w:t>Portfolio Company (a)(b)</w:t>
            </w:r>
          </w:p>
          <w:p>
            <w:pPr>
              <w:pStyle w:val="TableContents"/>
              <w:bidi w:val="0"/>
              <w:spacing w:before="0" w:after="0"/>
              <w:jc w:val="left"/>
              <w:rPr/>
            </w:pPr>
            <w:r>
              <w:rPr/>
              <w:t> </w:t>
            </w:r>
          </w:p>
          <w:p>
            <w:pPr>
              <w:pStyle w:val="TableContents"/>
              <w:pBdr>
                <w:bottom w:val="single" w:sz="8" w:space="1" w:color="000000"/>
              </w:pBdr>
              <w:bidi w:val="0"/>
              <w:spacing w:before="0" w:after="20"/>
              <w:jc w:val="left"/>
              <w:rPr>
                <w:rFonts w:ascii="Times New Roman" w:hAnsi="Times New Roman"/>
                <w:b/>
                <w:sz w:val="13"/>
              </w:rPr>
            </w:pPr>
            <w:r>
              <w:rPr>
                <w:rFonts w:ascii="Times New Roman" w:hAnsi="Times New Roman"/>
                <w:b/>
                <w:sz w:val="13"/>
              </w:rPr>
              <w:t>Address of Portfolio Company</w:t>
            </w:r>
          </w:p>
        </w:tc>
        <w:tc>
          <w:tcPr>
            <w:tcW w:w="60" w:type="dxa"/>
            <w:tcBorders/>
            <w:vAlign w:val="center"/>
          </w:tcPr>
          <w:p>
            <w:pPr>
              <w:pStyle w:val="TableContents"/>
              <w:bidi w:val="0"/>
              <w:spacing w:before="0" w:after="283"/>
              <w:jc w:val="left"/>
              <w:rPr/>
            </w:pPr>
            <w:r>
              <w:rPr/>
              <w:t> </w:t>
            </w:r>
          </w:p>
        </w:tc>
        <w:tc>
          <w:tcPr>
            <w:tcW w:w="183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Investment Type (c)</w:t>
            </w:r>
          </w:p>
        </w:tc>
        <w:tc>
          <w:tcPr>
            <w:tcW w:w="60" w:type="dxa"/>
            <w:tcBorders/>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Industry</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 Class</w:t>
              <w:br/>
              <w:t>Held (aw)</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Variable</w:t>
              <w:br/>
              <w:t>Index Spread</w:t>
              <w:br/>
              <w:t>/ Floor (d)</w:t>
            </w:r>
          </w:p>
        </w:tc>
        <w:tc>
          <w:tcPr>
            <w:tcW w:w="60" w:type="dxa"/>
            <w:tcBorders/>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Rate (e)</w:t>
              <w:br/>
              <w:t>Cash/PIK</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Investment</w:t>
              <w:br/>
              <w:t>Date (f)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Maturity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Principal</w:t>
              <w:b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Value (g)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 of</w:t>
              <w:br/>
              <w:t>Net Assets</w:t>
            </w:r>
          </w:p>
        </w:tc>
        <w:tc>
          <w:tcPr>
            <w:tcW w:w="290"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1895"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45"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GP&amp;C Operations, LLC (dba Garlock Printing and Converting)</w:t>
            </w:r>
          </w:p>
        </w:tc>
        <w:tc>
          <w:tcPr>
            <w:tcW w:w="6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Component Manufacturing</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164 Fredette St.</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Common Equity (515,625 units) (h)(j)</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1.70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1/22/2021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516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590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0</w:t>
            </w:r>
          </w:p>
        </w:tc>
        <w:tc>
          <w:tcPr>
            <w:tcW w:w="290" w:type="dxa"/>
            <w:tcBorders/>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Gardner, MA 01440</w:t>
            </w:r>
          </w:p>
        </w:tc>
        <w:tc>
          <w:tcPr>
            <w:tcW w:w="6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sz w:val="4"/>
                <w:szCs w:val="4"/>
              </w:rPr>
            </w:pPr>
            <w:r>
              <w:rPr>
                <w:sz w:val="4"/>
                <w:szCs w:val="4"/>
              </w:rPr>
            </w:r>
          </w:p>
        </w:tc>
        <w:tc>
          <w:tcPr>
            <w:tcW w:w="1895"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Green Cubes Technology, LLC (dba Green Cubes)</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Information Technology Services</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2121 East Boulevard</w:t>
            </w:r>
          </w:p>
        </w:tc>
        <w:tc>
          <w:tcPr>
            <w:tcW w:w="6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pPr>
            <w:r>
              <w:rPr/>
              <w:t>First Lien Debt (j)</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(S + 13.00%) / (0.00%)</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18.49%/0.00%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12/17/2021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12/17/2024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11,838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11,820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11,838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2</w:t>
            </w:r>
          </w:p>
        </w:tc>
        <w:tc>
          <w:tcPr>
            <w:tcW w:w="290" w:type="dxa"/>
            <w:tcBorders/>
            <w:shd w:fill="CCEEFF" w:val="clear"/>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Kokomo. IN 46902</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sz w:val="4"/>
                <w:szCs w:val="4"/>
              </w:rPr>
            </w:pPr>
            <w:r>
              <w:rPr>
                <w:sz w:val="4"/>
                <w:szCs w:val="4"/>
              </w:rPr>
            </w:r>
          </w:p>
        </w:tc>
        <w:tc>
          <w:tcPr>
            <w:tcW w:w="1895"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45"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Gurobi Optimization, LLC</w:t>
            </w:r>
          </w:p>
        </w:tc>
        <w:tc>
          <w:tcPr>
            <w:tcW w:w="6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Information Technology Services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9450 SW Gemini Dr. #90729</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Common Equity (3 shares)</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0.69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12/19/2017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572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3,619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1</w:t>
            </w:r>
          </w:p>
        </w:tc>
        <w:tc>
          <w:tcPr>
            <w:tcW w:w="290" w:type="dxa"/>
            <w:tcBorders/>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Beaverton, OR 97008-7105</w:t>
            </w:r>
          </w:p>
        </w:tc>
        <w:tc>
          <w:tcPr>
            <w:tcW w:w="6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sz w:val="4"/>
                <w:szCs w:val="4"/>
              </w:rPr>
            </w:pPr>
            <w:r>
              <w:rPr>
                <w:sz w:val="4"/>
                <w:szCs w:val="4"/>
              </w:rPr>
            </w:r>
          </w:p>
        </w:tc>
        <w:tc>
          <w:tcPr>
            <w:tcW w:w="1895"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Haematologic Technologies, Inc.</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i/>
              </w:rPr>
            </w:pPr>
            <w:r>
              <w:rPr>
                <w:i/>
              </w:rPr>
              <w:t>Haematologic Technologies, Inc.</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Healthcare Services</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57 River Road</w:t>
            </w:r>
          </w:p>
        </w:tc>
        <w:tc>
          <w:tcPr>
            <w:tcW w:w="6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pPr>
            <w:r>
              <w:rPr/>
              <w:t>First Lien Debt (x)</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(S + 8.25%) / (2.00%)</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13.80%/0.00%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10/11/2019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10/11/2024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5,385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5,380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5,385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Essex Junction, VT 05452</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Common Equity (630 units) (h)(j)</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3.45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10/11/2019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630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pPr>
            <w:r>
              <w:rPr/>
              <w:t>Common Equity (89 units) (h)(j)</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0.49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6/26/2023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6,099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5,522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1</w:t>
            </w:r>
          </w:p>
        </w:tc>
        <w:tc>
          <w:tcPr>
            <w:tcW w:w="290"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1895"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45"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Hallmark Health Care Solutions, Inc.</w:t>
            </w:r>
          </w:p>
        </w:tc>
        <w:tc>
          <w:tcPr>
            <w:tcW w:w="6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Healthcare Services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200 Motor Parkway, Suite D-26</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Common Equity (3,645,752 units) (j)</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0.43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9/18/2023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3,646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3,838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1</w:t>
            </w:r>
          </w:p>
        </w:tc>
        <w:tc>
          <w:tcPr>
            <w:tcW w:w="290" w:type="dxa"/>
            <w:tcBorders/>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Hauppauge, NY 11788</w:t>
            </w:r>
          </w:p>
        </w:tc>
        <w:tc>
          <w:tcPr>
            <w:tcW w:w="6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sz w:val="4"/>
                <w:szCs w:val="4"/>
              </w:rPr>
            </w:pPr>
            <w:r>
              <w:rPr>
                <w:sz w:val="4"/>
                <w:szCs w:val="4"/>
              </w:rPr>
            </w:r>
          </w:p>
        </w:tc>
        <w:tc>
          <w:tcPr>
            <w:tcW w:w="1895"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Healthfuse, LLC</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Healthcare Services</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324 E. Wisconsin Ave, Suite 1300</w:t>
            </w:r>
          </w:p>
        </w:tc>
        <w:tc>
          <w:tcPr>
            <w:tcW w:w="6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pPr>
            <w:r>
              <w:rPr/>
              <w:t>Preferred Equity (197,980 units)</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1.93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11/13/2020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1,837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0</w:t>
            </w:r>
          </w:p>
        </w:tc>
        <w:tc>
          <w:tcPr>
            <w:tcW w:w="290" w:type="dxa"/>
            <w:tcBorders/>
            <w:shd w:fill="CCEEFF" w:val="clear"/>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Milwaukee, WI 53202</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sz w:val="4"/>
                <w:szCs w:val="4"/>
              </w:rPr>
            </w:pPr>
            <w:r>
              <w:rPr>
                <w:sz w:val="4"/>
                <w:szCs w:val="4"/>
              </w:rPr>
            </w:r>
          </w:p>
        </w:tc>
        <w:tc>
          <w:tcPr>
            <w:tcW w:w="1895"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45"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Hub Acquisition Sub, LLC (dba Hub Pen)</w:t>
            </w:r>
          </w:p>
        </w:tc>
        <w:tc>
          <w:tcPr>
            <w:tcW w:w="6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Promotional products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1525 Washington Street</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Second Lien Debt (k)</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12.50%/1.00%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4/25/2023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6/30/2028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20,190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19,945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20,190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Braintree, MA 02184</w:t>
            </w:r>
          </w:p>
        </w:tc>
        <w:tc>
          <w:tcPr>
            <w:tcW w:w="6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pPr>
            <w:r>
              <w:rPr/>
              <w:t>Common Equity (5,837 units)</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0.57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3/23/2016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1,553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Common Equity (637 units) (j)</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0.06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8/7/2023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102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170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pPr>
            <w:r>
              <w:rPr/>
              <w:t>Preferred Equity (868 units) (j)</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10/16/2020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358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20,591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22,271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4</w:t>
            </w:r>
          </w:p>
        </w:tc>
        <w:tc>
          <w:tcPr>
            <w:tcW w:w="290" w:type="dxa"/>
            <w:tcBorders/>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IBH Holdings, LLC (fka Inflexxion, Inc.)</w:t>
            </w:r>
          </w:p>
        </w:tc>
        <w:tc>
          <w:tcPr>
            <w:tcW w:w="6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Business Services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3070 Bristol St #350</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Common Equity (150,000 units)</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1.50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6/20/2018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65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0</w:t>
            </w:r>
          </w:p>
        </w:tc>
        <w:tc>
          <w:tcPr>
            <w:tcW w:w="290" w:type="dxa"/>
            <w:tcBorders/>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Costa Mesa, CA 92626</w:t>
            </w:r>
          </w:p>
        </w:tc>
        <w:tc>
          <w:tcPr>
            <w:tcW w:w="6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bidi w:val="0"/>
        <w:jc w:val="left"/>
        <w:rPr/>
      </w:pPr>
      <w:r>
        <w:rPr/>
      </w:r>
    </w:p>
    <w:tbl>
      <w:tblPr>
        <w:tblW w:w="13905" w:type="dxa"/>
        <w:jc w:val="left"/>
        <w:tblInd w:w="0" w:type="dxa"/>
        <w:tblLayout w:type="fixed"/>
        <w:tblCellMar>
          <w:top w:w="0" w:type="dxa"/>
          <w:left w:w="0" w:type="dxa"/>
          <w:bottom w:w="0" w:type="dxa"/>
          <w:right w:w="0" w:type="dxa"/>
        </w:tblCellMar>
      </w:tblPr>
      <w:tblGrid>
        <w:gridCol w:w="845"/>
        <w:gridCol w:w="60"/>
        <w:gridCol w:w="1835"/>
        <w:gridCol w:w="60"/>
        <w:gridCol w:w="1160"/>
        <w:gridCol w:w="60"/>
        <w:gridCol w:w="137"/>
        <w:gridCol w:w="1008"/>
        <w:gridCol w:w="275"/>
        <w:gridCol w:w="60"/>
        <w:gridCol w:w="830"/>
        <w:gridCol w:w="60"/>
        <w:gridCol w:w="755"/>
        <w:gridCol w:w="60"/>
        <w:gridCol w:w="122"/>
        <w:gridCol w:w="1023"/>
        <w:gridCol w:w="60"/>
        <w:gridCol w:w="60"/>
        <w:gridCol w:w="60"/>
        <w:gridCol w:w="875"/>
        <w:gridCol w:w="60"/>
        <w:gridCol w:w="60"/>
        <w:gridCol w:w="77"/>
        <w:gridCol w:w="873"/>
        <w:gridCol w:w="60"/>
        <w:gridCol w:w="60"/>
        <w:gridCol w:w="60"/>
        <w:gridCol w:w="680"/>
        <w:gridCol w:w="155"/>
        <w:gridCol w:w="60"/>
        <w:gridCol w:w="70"/>
        <w:gridCol w:w="805"/>
        <w:gridCol w:w="60"/>
        <w:gridCol w:w="60"/>
        <w:gridCol w:w="321"/>
        <w:gridCol w:w="749"/>
        <w:gridCol w:w="290"/>
      </w:tblGrid>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0"/>
              <w:jc w:val="left"/>
              <w:rPr>
                <w:rFonts w:ascii="Times New Roman" w:hAnsi="Times New Roman"/>
                <w:b/>
                <w:sz w:val="13"/>
              </w:rPr>
            </w:pPr>
            <w:r>
              <w:rPr>
                <w:rFonts w:ascii="Times New Roman" w:hAnsi="Times New Roman"/>
                <w:b/>
                <w:sz w:val="13"/>
              </w:rPr>
              <w:t>Portfolio Company (a)(b)</w:t>
            </w:r>
          </w:p>
          <w:p>
            <w:pPr>
              <w:pStyle w:val="TableContents"/>
              <w:bidi w:val="0"/>
              <w:spacing w:before="0" w:after="0"/>
              <w:jc w:val="left"/>
              <w:rPr/>
            </w:pPr>
            <w:r>
              <w:rPr/>
              <w:t> </w:t>
            </w:r>
          </w:p>
          <w:p>
            <w:pPr>
              <w:pStyle w:val="TableContents"/>
              <w:pBdr>
                <w:bottom w:val="single" w:sz="8" w:space="1" w:color="000000"/>
              </w:pBdr>
              <w:bidi w:val="0"/>
              <w:spacing w:before="0" w:after="20"/>
              <w:jc w:val="left"/>
              <w:rPr>
                <w:rFonts w:ascii="Times New Roman" w:hAnsi="Times New Roman"/>
                <w:b/>
                <w:sz w:val="13"/>
              </w:rPr>
            </w:pPr>
            <w:r>
              <w:rPr>
                <w:rFonts w:ascii="Times New Roman" w:hAnsi="Times New Roman"/>
                <w:b/>
                <w:sz w:val="13"/>
              </w:rPr>
              <w:t>Address of Portfolio Company</w:t>
            </w:r>
          </w:p>
        </w:tc>
        <w:tc>
          <w:tcPr>
            <w:tcW w:w="60" w:type="dxa"/>
            <w:tcBorders/>
            <w:vAlign w:val="center"/>
          </w:tcPr>
          <w:p>
            <w:pPr>
              <w:pStyle w:val="TableContents"/>
              <w:bidi w:val="0"/>
              <w:spacing w:before="0" w:after="283"/>
              <w:jc w:val="left"/>
              <w:rPr/>
            </w:pPr>
            <w:r>
              <w:rPr/>
              <w:t> </w:t>
            </w:r>
          </w:p>
        </w:tc>
        <w:tc>
          <w:tcPr>
            <w:tcW w:w="183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Investment Type (c)</w:t>
            </w:r>
          </w:p>
        </w:tc>
        <w:tc>
          <w:tcPr>
            <w:tcW w:w="60" w:type="dxa"/>
            <w:tcBorders/>
            <w:vAlign w:val="center"/>
          </w:tcPr>
          <w:p>
            <w:pPr>
              <w:pStyle w:val="TableContents"/>
              <w:bidi w:val="0"/>
              <w:spacing w:before="0" w:after="283"/>
              <w:jc w:val="left"/>
              <w:rPr/>
            </w:pPr>
            <w:r>
              <w:rPr/>
              <w:t> </w:t>
            </w:r>
          </w:p>
        </w:tc>
        <w:tc>
          <w:tcPr>
            <w:tcW w:w="11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Industry</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 Class</w:t>
              <w:br/>
              <w:t>Held (aw)</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Variable</w:t>
              <w:br/>
              <w:t>Index Spread</w:t>
              <w:br/>
              <w:t>/ Floor (d)</w:t>
            </w:r>
          </w:p>
        </w:tc>
        <w:tc>
          <w:tcPr>
            <w:tcW w:w="60" w:type="dxa"/>
            <w:tcBorders/>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Rate (e)</w:t>
              <w:br/>
              <w:t>Cash/PIK</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Investment</w:t>
              <w:br/>
              <w:t>Date (f)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Maturity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Principal</w:t>
              <w:b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Cost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Value (g)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 of</w:t>
              <w:br/>
              <w:t>Net Assets</w:t>
            </w:r>
          </w:p>
        </w:tc>
        <w:tc>
          <w:tcPr>
            <w:tcW w:w="290" w:type="dxa"/>
            <w:tcBorders/>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Informatics Holdings, Inc. (dba Wasp Barcode Technologies)</w:t>
            </w:r>
          </w:p>
        </w:tc>
        <w:tc>
          <w:tcPr>
            <w:tcW w:w="6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t>Information Technology Services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sz w:val="4"/>
                <w:szCs w:val="4"/>
              </w:rPr>
            </w:pPr>
            <w:r>
              <w:rPr>
                <w:sz w:val="4"/>
                <w:szCs w:val="4"/>
              </w:rPr>
            </w:r>
          </w:p>
        </w:tc>
        <w:tc>
          <w:tcPr>
            <w:tcW w:w="102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1400 10th St</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First Lien Debt (j)</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(S + 6.50%) / (2.50%)</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11.83%/0.00%</w:t>
            </w:r>
          </w:p>
        </w:tc>
        <w:tc>
          <w:tcPr>
            <w:tcW w:w="6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023" w:type="dxa"/>
            <w:tcBorders/>
            <w:vAlign w:val="center"/>
          </w:tcPr>
          <w:p>
            <w:pPr>
              <w:pStyle w:val="TableContents"/>
              <w:bidi w:val="0"/>
              <w:spacing w:before="0" w:after="283"/>
              <w:jc w:val="right"/>
              <w:rPr/>
            </w:pPr>
            <w:r>
              <w:rPr/>
              <w:t>3/7/2024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3/7/2029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12,500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12,450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12,450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Plano, TX 75074</w:t>
            </w:r>
          </w:p>
        </w:tc>
        <w:tc>
          <w:tcPr>
            <w:tcW w:w="6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pPr>
            <w:r>
              <w:rPr/>
              <w:t>Revolving Loan ($1,000 unfunded commitment) (i)(j)</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(S + 6.50%) / (2.50%)</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11.83%/0.00%</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3/7/2024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3/7/2029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Preferred Equity (1,000,000 units) (j)</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3.80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023" w:type="dxa"/>
            <w:tcBorders/>
            <w:vAlign w:val="center"/>
          </w:tcPr>
          <w:p>
            <w:pPr>
              <w:pStyle w:val="TableContents"/>
              <w:bidi w:val="0"/>
              <w:spacing w:before="0" w:after="283"/>
              <w:jc w:val="right"/>
              <w:rPr/>
            </w:pPr>
            <w:r>
              <w:rPr/>
              <w:t>3/7/2024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1,000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sz w:val="4"/>
                <w:szCs w:val="4"/>
              </w:rPr>
            </w:pPr>
            <w:r>
              <w:rPr>
                <w:sz w:val="4"/>
                <w:szCs w:val="4"/>
              </w:rPr>
            </w:r>
          </w:p>
        </w:tc>
        <w:tc>
          <w:tcPr>
            <w:tcW w:w="102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13,450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13,450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2</w:t>
            </w:r>
          </w:p>
        </w:tc>
        <w:tc>
          <w:tcPr>
            <w:tcW w:w="290" w:type="dxa"/>
            <w:tcBorders/>
            <w:shd w:fill="CCEEFF" w:val="clear"/>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1895" w:type="dxa"/>
            <w:gridSpan w:val="2"/>
            <w:tcBorders/>
            <w:vAlign w:val="center"/>
          </w:tcPr>
          <w:p>
            <w:pPr>
              <w:pStyle w:val="TableContents"/>
              <w:bidi w:val="0"/>
              <w:spacing w:before="0" w:after="283"/>
              <w:jc w:val="left"/>
              <w:rPr>
                <w:sz w:val="4"/>
                <w:szCs w:val="4"/>
              </w:rPr>
            </w:pPr>
            <w:r>
              <w:rPr>
                <w:sz w:val="4"/>
                <w:szCs w:val="4"/>
              </w:rPr>
            </w:r>
          </w:p>
        </w:tc>
        <w:tc>
          <w:tcPr>
            <w:tcW w:w="1220"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955"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ISI PSG Holdings, LLC (dba Incentive Solutions, Inc.)</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Business Services</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4170 Ashford Dunwoody Rd, #250</w:t>
            </w:r>
          </w:p>
        </w:tc>
        <w:tc>
          <w:tcPr>
            <w:tcW w:w="6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pPr>
            <w:r>
              <w:rPr/>
              <w:t>First Lien Debt (j)(aj)</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(S + 7.50%) / (0.50%)</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12.96%/0.00%</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4/5/2021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4/5/2026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11,359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11,317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11,359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Atlanta, GA 30319</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First Lien Debt (j)(an)</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(S + 7.50%) / (0.50%)</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9.46%/0.00%</w:t>
            </w:r>
          </w:p>
        </w:tc>
        <w:tc>
          <w:tcPr>
            <w:tcW w:w="6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023" w:type="dxa"/>
            <w:tcBorders/>
            <w:vAlign w:val="center"/>
          </w:tcPr>
          <w:p>
            <w:pPr>
              <w:pStyle w:val="TableContents"/>
              <w:bidi w:val="0"/>
              <w:spacing w:before="0" w:after="283"/>
              <w:jc w:val="right"/>
              <w:rPr/>
            </w:pPr>
            <w:r>
              <w:rPr/>
              <w:t>6/30/2021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4/5/2026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12,037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12,038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12,034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pPr>
            <w:r>
              <w:rPr/>
              <w:t>Common Equity (256,964 units) (h)(j)</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1.08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4/5/2021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532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23,855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23,925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4</w:t>
            </w:r>
          </w:p>
        </w:tc>
        <w:tc>
          <w:tcPr>
            <w:tcW w:w="290"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1895" w:type="dxa"/>
            <w:gridSpan w:val="2"/>
            <w:tcBorders/>
            <w:vAlign w:val="center"/>
          </w:tcPr>
          <w:p>
            <w:pPr>
              <w:pStyle w:val="TableContents"/>
              <w:bidi w:val="0"/>
              <w:spacing w:before="0" w:after="283"/>
              <w:jc w:val="left"/>
              <w:rPr>
                <w:sz w:val="4"/>
                <w:szCs w:val="4"/>
              </w:rPr>
            </w:pPr>
            <w:r>
              <w:rPr>
                <w:sz w:val="4"/>
                <w:szCs w:val="4"/>
              </w:rPr>
            </w:r>
          </w:p>
        </w:tc>
        <w:tc>
          <w:tcPr>
            <w:tcW w:w="1220"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955"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45"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Janus Health Technologies, Inc.</w:t>
            </w:r>
          </w:p>
        </w:tc>
        <w:tc>
          <w:tcPr>
            <w:tcW w:w="6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t>Information Technology Services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sz w:val="4"/>
                <w:szCs w:val="4"/>
              </w:rPr>
            </w:pPr>
            <w:r>
              <w:rPr>
                <w:sz w:val="4"/>
                <w:szCs w:val="4"/>
              </w:rPr>
            </w:r>
          </w:p>
        </w:tc>
        <w:tc>
          <w:tcPr>
            <w:tcW w:w="102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4850 Tamiami Trl N, Suite 301</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First Lien Debt</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12.00%/0.00%</w:t>
            </w:r>
          </w:p>
        </w:tc>
        <w:tc>
          <w:tcPr>
            <w:tcW w:w="6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023" w:type="dxa"/>
            <w:tcBorders/>
            <w:vAlign w:val="center"/>
          </w:tcPr>
          <w:p>
            <w:pPr>
              <w:pStyle w:val="TableContents"/>
              <w:bidi w:val="0"/>
              <w:spacing w:before="0" w:after="283"/>
              <w:jc w:val="right"/>
              <w:rPr/>
            </w:pPr>
            <w:r>
              <w:rPr/>
              <w:t>1/3/2024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1/3/2028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4,978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4,978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Naples, FL 34103</w:t>
            </w:r>
          </w:p>
        </w:tc>
        <w:tc>
          <w:tcPr>
            <w:tcW w:w="6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pPr>
            <w:r>
              <w:rPr/>
              <w:t>First Lien Debt ($2,500 unfunded commitment) (j)</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12.00%/0.00%</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1/3/2024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6/3/2025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Preferred Equity (68,361 units)</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0.80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023" w:type="dxa"/>
            <w:tcBorders/>
            <w:vAlign w:val="center"/>
          </w:tcPr>
          <w:p>
            <w:pPr>
              <w:pStyle w:val="TableContents"/>
              <w:bidi w:val="0"/>
              <w:spacing w:before="0" w:after="283"/>
              <w:jc w:val="right"/>
              <w:rPr/>
            </w:pPr>
            <w:r>
              <w:rPr/>
              <w:t>1/3/2024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1,500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sz w:val="4"/>
                <w:szCs w:val="4"/>
              </w:rPr>
            </w:pPr>
            <w:r>
              <w:rPr>
                <w:sz w:val="4"/>
                <w:szCs w:val="4"/>
              </w:rPr>
            </w:r>
          </w:p>
        </w:tc>
        <w:tc>
          <w:tcPr>
            <w:tcW w:w="102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6,468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6,478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1</w:t>
            </w:r>
          </w:p>
        </w:tc>
        <w:tc>
          <w:tcPr>
            <w:tcW w:w="290" w:type="dxa"/>
            <w:tcBorders/>
            <w:shd w:fill="CCEEFF" w:val="clear"/>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1895" w:type="dxa"/>
            <w:gridSpan w:val="2"/>
            <w:tcBorders/>
            <w:vAlign w:val="center"/>
          </w:tcPr>
          <w:p>
            <w:pPr>
              <w:pStyle w:val="TableContents"/>
              <w:bidi w:val="0"/>
              <w:spacing w:before="0" w:after="283"/>
              <w:jc w:val="left"/>
              <w:rPr>
                <w:sz w:val="4"/>
                <w:szCs w:val="4"/>
              </w:rPr>
            </w:pPr>
            <w:r>
              <w:rPr>
                <w:sz w:val="4"/>
                <w:szCs w:val="4"/>
              </w:rPr>
            </w:r>
          </w:p>
        </w:tc>
        <w:tc>
          <w:tcPr>
            <w:tcW w:w="1220"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955"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The Kyjen Company, LLC (dba Outward Hound)</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Consumer Products</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7337 S Revere Parkway</w:t>
            </w:r>
          </w:p>
        </w:tc>
        <w:tc>
          <w:tcPr>
            <w:tcW w:w="6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pPr>
            <w:r>
              <w:rPr/>
              <w:t>Common Equity (855 shares) (j)</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1.27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12/8/2017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933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0</w:t>
            </w:r>
          </w:p>
        </w:tc>
        <w:tc>
          <w:tcPr>
            <w:tcW w:w="290" w:type="dxa"/>
            <w:tcBorders/>
            <w:shd w:fill="CCEEFF" w:val="clear"/>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Centennial, CO 80112</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sz w:val="4"/>
                <w:szCs w:val="4"/>
              </w:rPr>
            </w:pPr>
            <w:r>
              <w:rPr>
                <w:sz w:val="4"/>
                <w:szCs w:val="4"/>
              </w:rPr>
            </w:r>
          </w:p>
        </w:tc>
        <w:tc>
          <w:tcPr>
            <w:tcW w:w="1895" w:type="dxa"/>
            <w:gridSpan w:val="2"/>
            <w:tcBorders/>
            <w:vAlign w:val="center"/>
          </w:tcPr>
          <w:p>
            <w:pPr>
              <w:pStyle w:val="TableContents"/>
              <w:bidi w:val="0"/>
              <w:spacing w:before="0" w:after="283"/>
              <w:jc w:val="left"/>
              <w:rPr>
                <w:sz w:val="4"/>
                <w:szCs w:val="4"/>
              </w:rPr>
            </w:pPr>
            <w:r>
              <w:rPr>
                <w:sz w:val="4"/>
                <w:szCs w:val="4"/>
              </w:rPr>
            </w:r>
          </w:p>
        </w:tc>
        <w:tc>
          <w:tcPr>
            <w:tcW w:w="1220"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955"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45"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Level Education Group, LLC (dba CE4Less)</w:t>
            </w:r>
          </w:p>
        </w:tc>
        <w:tc>
          <w:tcPr>
            <w:tcW w:w="6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t>Business Services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sz w:val="4"/>
                <w:szCs w:val="4"/>
              </w:rPr>
            </w:pPr>
            <w:r>
              <w:rPr>
                <w:sz w:val="4"/>
                <w:szCs w:val="4"/>
              </w:rPr>
            </w:r>
          </w:p>
        </w:tc>
        <w:tc>
          <w:tcPr>
            <w:tcW w:w="102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5414 W Daybreak Parkway C-4 #401</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First Lien Debt (ak)</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(S + 5.75%) / (2.00%)</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11.34%/0.00%</w:t>
            </w:r>
          </w:p>
        </w:tc>
        <w:tc>
          <w:tcPr>
            <w:tcW w:w="6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023" w:type="dxa"/>
            <w:tcBorders/>
            <w:vAlign w:val="center"/>
          </w:tcPr>
          <w:p>
            <w:pPr>
              <w:pStyle w:val="TableContents"/>
              <w:bidi w:val="0"/>
              <w:spacing w:before="0" w:after="283"/>
              <w:jc w:val="right"/>
              <w:rPr/>
            </w:pPr>
            <w:r>
              <w:rPr/>
              <w:t>4/1/2021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4/1/2026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4,553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4,537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4,553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South Jordan, UT 84009</w:t>
            </w:r>
          </w:p>
        </w:tc>
        <w:tc>
          <w:tcPr>
            <w:tcW w:w="6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pPr>
            <w:r>
              <w:rPr/>
              <w:t>Common Equity (1,000,000 units) (j)</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3.80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4/1/2021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1,405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5,537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5,958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1</w:t>
            </w:r>
          </w:p>
        </w:tc>
        <w:tc>
          <w:tcPr>
            <w:tcW w:w="290"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1895" w:type="dxa"/>
            <w:gridSpan w:val="2"/>
            <w:tcBorders/>
            <w:vAlign w:val="center"/>
          </w:tcPr>
          <w:p>
            <w:pPr>
              <w:pStyle w:val="TableContents"/>
              <w:bidi w:val="0"/>
              <w:spacing w:before="0" w:after="283"/>
              <w:jc w:val="left"/>
              <w:rPr>
                <w:sz w:val="4"/>
                <w:szCs w:val="4"/>
              </w:rPr>
            </w:pPr>
            <w:r>
              <w:rPr>
                <w:sz w:val="4"/>
                <w:szCs w:val="4"/>
              </w:rPr>
            </w:r>
          </w:p>
        </w:tc>
        <w:tc>
          <w:tcPr>
            <w:tcW w:w="1220"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955"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45"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LifeSpan Biosciences, Inc.</w:t>
            </w:r>
          </w:p>
        </w:tc>
        <w:tc>
          <w:tcPr>
            <w:tcW w:w="6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t>Healthcare Products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sz w:val="4"/>
                <w:szCs w:val="4"/>
              </w:rPr>
            </w:pPr>
            <w:r>
              <w:rPr>
                <w:sz w:val="4"/>
                <w:szCs w:val="4"/>
              </w:rPr>
            </w:r>
          </w:p>
        </w:tc>
        <w:tc>
          <w:tcPr>
            <w:tcW w:w="102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2 Shaker Rd Suites B001/B101</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Subordinated Debt (j)</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11.50%/0.00%</w:t>
            </w:r>
          </w:p>
        </w:tc>
        <w:tc>
          <w:tcPr>
            <w:tcW w:w="6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023" w:type="dxa"/>
            <w:tcBorders/>
            <w:vAlign w:val="center"/>
          </w:tcPr>
          <w:p>
            <w:pPr>
              <w:pStyle w:val="TableContents"/>
              <w:bidi w:val="0"/>
              <w:spacing w:before="0" w:after="283"/>
              <w:jc w:val="right"/>
              <w:rPr/>
            </w:pPr>
            <w:r>
              <w:rPr/>
              <w:t>3/19/2021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9/19/2026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16,000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15,963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15,099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Shirley, MA 01464</w:t>
            </w:r>
          </w:p>
        </w:tc>
        <w:tc>
          <w:tcPr>
            <w:tcW w:w="6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pPr>
            <w:r>
              <w:rPr/>
              <w:t>Common Equity (100 shares) (j)</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0.91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3/19/2021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413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16,963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15,512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3</w:t>
            </w:r>
          </w:p>
        </w:tc>
        <w:tc>
          <w:tcPr>
            <w:tcW w:w="29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bidi w:val="0"/>
        <w:jc w:val="left"/>
        <w:rPr/>
      </w:pPr>
      <w:r>
        <w:rPr/>
      </w:r>
    </w:p>
    <w:tbl>
      <w:tblPr>
        <w:tblW w:w="13720" w:type="dxa"/>
        <w:jc w:val="left"/>
        <w:tblInd w:w="0" w:type="dxa"/>
        <w:tblLayout w:type="fixed"/>
        <w:tblCellMar>
          <w:top w:w="0" w:type="dxa"/>
          <w:left w:w="0" w:type="dxa"/>
          <w:bottom w:w="0" w:type="dxa"/>
          <w:right w:w="0" w:type="dxa"/>
        </w:tblCellMar>
      </w:tblPr>
      <w:tblGrid>
        <w:gridCol w:w="845"/>
        <w:gridCol w:w="60"/>
        <w:gridCol w:w="1220"/>
        <w:gridCol w:w="60"/>
        <w:gridCol w:w="1415"/>
        <w:gridCol w:w="60"/>
        <w:gridCol w:w="137"/>
        <w:gridCol w:w="1008"/>
        <w:gridCol w:w="275"/>
        <w:gridCol w:w="60"/>
        <w:gridCol w:w="1100"/>
        <w:gridCol w:w="60"/>
        <w:gridCol w:w="755"/>
        <w:gridCol w:w="60"/>
        <w:gridCol w:w="60"/>
        <w:gridCol w:w="1085"/>
        <w:gridCol w:w="60"/>
        <w:gridCol w:w="60"/>
        <w:gridCol w:w="60"/>
        <w:gridCol w:w="875"/>
        <w:gridCol w:w="60"/>
        <w:gridCol w:w="60"/>
        <w:gridCol w:w="77"/>
        <w:gridCol w:w="873"/>
        <w:gridCol w:w="60"/>
        <w:gridCol w:w="60"/>
        <w:gridCol w:w="60"/>
        <w:gridCol w:w="680"/>
        <w:gridCol w:w="60"/>
        <w:gridCol w:w="60"/>
        <w:gridCol w:w="70"/>
        <w:gridCol w:w="805"/>
        <w:gridCol w:w="60"/>
        <w:gridCol w:w="60"/>
        <w:gridCol w:w="321"/>
        <w:gridCol w:w="749"/>
        <w:gridCol w:w="290"/>
      </w:tblGrid>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0"/>
              <w:jc w:val="left"/>
              <w:rPr>
                <w:rFonts w:ascii="Times New Roman" w:hAnsi="Times New Roman"/>
                <w:b/>
                <w:sz w:val="13"/>
              </w:rPr>
            </w:pPr>
            <w:r>
              <w:rPr>
                <w:rFonts w:ascii="Times New Roman" w:hAnsi="Times New Roman"/>
                <w:b/>
                <w:sz w:val="13"/>
              </w:rPr>
              <w:t>Portfolio Company (a)(b)</w:t>
            </w:r>
          </w:p>
          <w:p>
            <w:pPr>
              <w:pStyle w:val="TableContents"/>
              <w:bidi w:val="0"/>
              <w:spacing w:before="0" w:after="0"/>
              <w:jc w:val="left"/>
              <w:rPr/>
            </w:pPr>
            <w:r>
              <w:rPr/>
              <w:t> </w:t>
            </w:r>
          </w:p>
          <w:p>
            <w:pPr>
              <w:pStyle w:val="TableContents"/>
              <w:pBdr>
                <w:bottom w:val="single" w:sz="8" w:space="1" w:color="000000"/>
              </w:pBdr>
              <w:bidi w:val="0"/>
              <w:spacing w:before="0" w:after="20"/>
              <w:jc w:val="left"/>
              <w:rPr>
                <w:rFonts w:ascii="Times New Roman" w:hAnsi="Times New Roman"/>
                <w:b/>
                <w:sz w:val="13"/>
              </w:rPr>
            </w:pPr>
            <w:r>
              <w:rPr>
                <w:rFonts w:ascii="Times New Roman" w:hAnsi="Times New Roman"/>
                <w:b/>
                <w:sz w:val="13"/>
              </w:rPr>
              <w:t>Address of Portfolio Company</w:t>
            </w:r>
          </w:p>
        </w:tc>
        <w:tc>
          <w:tcPr>
            <w:tcW w:w="60" w:type="dxa"/>
            <w:tcBorders/>
            <w:vAlign w:val="center"/>
          </w:tcPr>
          <w:p>
            <w:pPr>
              <w:pStyle w:val="TableContents"/>
              <w:bidi w:val="0"/>
              <w:spacing w:before="0" w:after="283"/>
              <w:jc w:val="left"/>
              <w:rPr/>
            </w:pPr>
            <w:r>
              <w:rPr/>
              <w:t> </w:t>
            </w:r>
          </w:p>
        </w:tc>
        <w:tc>
          <w:tcPr>
            <w:tcW w:w="12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Investment Type (c)</w:t>
            </w:r>
          </w:p>
        </w:tc>
        <w:tc>
          <w:tcPr>
            <w:tcW w:w="60" w:type="dxa"/>
            <w:tcBorders/>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Industry</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 Class</w:t>
              <w:br/>
              <w:t>Held (aw)</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Variable</w:t>
              <w:br/>
              <w:t>Index Spread</w:t>
              <w:br/>
              <w:t>/ Floor (d)</w:t>
            </w:r>
          </w:p>
        </w:tc>
        <w:tc>
          <w:tcPr>
            <w:tcW w:w="60" w:type="dxa"/>
            <w:tcBorders/>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Rate (e)</w:t>
              <w:br/>
              <w:t>Cash/PIK</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Investment</w:t>
              <w:br/>
              <w:t>Date (f)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Maturity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Principal</w:t>
              <w:b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Value (g)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 of</w:t>
              <w:br/>
              <w:t>Net Assets</w:t>
            </w:r>
          </w:p>
        </w:tc>
        <w:tc>
          <w:tcPr>
            <w:tcW w:w="290" w:type="dxa"/>
            <w:tcBorders/>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Magenta Buyer LLC (dba Trellix)</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Information Technology Services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6000 Headquarters Drive, Suite 600</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Second Lien Debt (j)</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(S + 8.25%) / (0.75%)</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13.82%/0.00%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7/19/2022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7/27/2029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7,182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6,878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5,047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1</w:t>
            </w:r>
          </w:p>
        </w:tc>
        <w:tc>
          <w:tcPr>
            <w:tcW w:w="290" w:type="dxa"/>
            <w:tcBorders/>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Plano, TX 75024</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1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MBS Opco, LLC (dba Marketron)</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Information Technology Services</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101 Empty Saddle Trail</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First Lien Debt (j)</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pPr>
            <w:r>
              <w:rPr/>
              <w:t>(S + 8.50%) / (1.50%)</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14.09%/0.00%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9/29/2022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9/28/2026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27,000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26,916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27,000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4</w:t>
            </w:r>
          </w:p>
        </w:tc>
        <w:tc>
          <w:tcPr>
            <w:tcW w:w="290" w:type="dxa"/>
            <w:tcBorders/>
            <w:shd w:fill="CCEEFF" w:val="clear"/>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Hailey, ID 83333</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1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45"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MDME Holding Corp.</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Healthcare Products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14109 Pontlavoy Ave.</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First Lien Debt</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(S + 6.25%) / (1.00%)</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11.70%/0.00%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8/31/2023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8/3/2027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11,893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11,812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11,893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Santa Fe Springs, CA 90670</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Common Equity (4,735 units) (j)</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2.25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9/18/2023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Preferred Equity (12,500 units) (j)</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9/18/2023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1,250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872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13,062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12,765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2</w:t>
            </w:r>
          </w:p>
        </w:tc>
        <w:tc>
          <w:tcPr>
            <w:tcW w:w="290" w:type="dxa"/>
            <w:tcBorders/>
            <w:shd w:fill="CCEEFF" w:val="clear"/>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1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Micronics Filtration Holdings, Inc. (dba Micronics Engineered Filtration Group, Inc.)</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Component Manufacturing</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1201 Riverfront Parkway, Unit A</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First Lien Debt (k)(as)</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pPr>
            <w:r>
              <w:rPr/>
              <w:t>(S + 5.25%) / (0.50%)</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10.84%/0.00%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2/17/2022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2/17/2027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30,000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29,252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30,000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Chattanooga, TN 37402</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Common Equity (14,400 units) (j)</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1.0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2/17/2022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1,440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5,618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30,692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35,618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7</w:t>
            </w:r>
          </w:p>
        </w:tc>
        <w:tc>
          <w:tcPr>
            <w:tcW w:w="290" w:type="dxa"/>
            <w:tcBorders/>
            <w:shd w:fill="CCEEFF" w:val="clear"/>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1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Netbase Solutions, Inc. (dba Netbase Quid)</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Information Technology Services</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3945 Freedom Circle, Suite 730</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First Lien Debt (k)(ap)</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pPr>
            <w:r>
              <w:rPr/>
              <w:t>(P + 4.00%) / (3.25%)</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11/18/2021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11/18/2025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15,869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15,818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15,869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3</w:t>
            </w:r>
          </w:p>
        </w:tc>
        <w:tc>
          <w:tcPr>
            <w:tcW w:w="290" w:type="dxa"/>
            <w:tcBorders/>
            <w:shd w:fill="CCEEFF" w:val="clear"/>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Santa Clara, CA 95054</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1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45"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NWS Technologies, LLC</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Utilities: Services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131 Venture Boulevard</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First Lien Debt (u)</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(S + 8.00%) / (2.50%)</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13.33%/0.00%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6/20/2023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6/16/2028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17,000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16,785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17,000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Spartanburg, SC 29306</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Common Equity (1 unit) (h)(j)</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1.30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6/20/2023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935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Preferred Equity (0.375 units) (h)(j)</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6/20/2023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393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18,285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18,328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3</w:t>
            </w:r>
          </w:p>
        </w:tc>
        <w:tc>
          <w:tcPr>
            <w:tcW w:w="290" w:type="dxa"/>
            <w:tcBorders/>
            <w:shd w:fill="CCEEFF" w:val="clear"/>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1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OnePath Systems, LLC</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Information Technology Services</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170 Chastain Meadows Ct</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First Lien Debt (s)</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pPr>
            <w:r>
              <w:rPr/>
              <w:t>(S + 7.50%) / (1.00%)</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12.83%/0.00%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9/30/2022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9/30/2027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11,000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10,942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Kennesaw, GA 30144</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Common Equity (732,542 shares) (j)</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2.10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9/30/2022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994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11,442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11,994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2</w:t>
            </w:r>
          </w:p>
        </w:tc>
        <w:tc>
          <w:tcPr>
            <w:tcW w:w="290" w:type="dxa"/>
            <w:tcBorders/>
            <w:shd w:fill="CCEEFF" w:val="clear"/>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16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Palmetto Moon, LLC</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Retail</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1950 Hanahan Road</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Common Equity (499 units) (j)</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1.80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11/3/2016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586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0</w:t>
            </w:r>
          </w:p>
        </w:tc>
        <w:tc>
          <w:tcPr>
            <w:tcW w:w="290" w:type="dxa"/>
            <w:tcBorders/>
            <w:shd w:fill="CCEEFF" w:val="clear"/>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North Charleston, SC 29406</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bidi w:val="0"/>
        <w:jc w:val="left"/>
        <w:rPr/>
      </w:pPr>
      <w:r>
        <w:rPr/>
      </w:r>
    </w:p>
    <w:tbl>
      <w:tblPr>
        <w:tblW w:w="14215" w:type="dxa"/>
        <w:jc w:val="left"/>
        <w:tblInd w:w="0" w:type="dxa"/>
        <w:tblLayout w:type="fixed"/>
        <w:tblCellMar>
          <w:top w:w="0" w:type="dxa"/>
          <w:left w:w="0" w:type="dxa"/>
          <w:bottom w:w="0" w:type="dxa"/>
          <w:right w:w="0" w:type="dxa"/>
        </w:tblCellMar>
      </w:tblPr>
      <w:tblGrid>
        <w:gridCol w:w="1040"/>
        <w:gridCol w:w="60"/>
        <w:gridCol w:w="1790"/>
        <w:gridCol w:w="60"/>
        <w:gridCol w:w="1415"/>
        <w:gridCol w:w="60"/>
        <w:gridCol w:w="137"/>
        <w:gridCol w:w="1008"/>
        <w:gridCol w:w="275"/>
        <w:gridCol w:w="60"/>
        <w:gridCol w:w="830"/>
        <w:gridCol w:w="60"/>
        <w:gridCol w:w="755"/>
        <w:gridCol w:w="60"/>
        <w:gridCol w:w="60"/>
        <w:gridCol w:w="1085"/>
        <w:gridCol w:w="60"/>
        <w:gridCol w:w="60"/>
        <w:gridCol w:w="60"/>
        <w:gridCol w:w="875"/>
        <w:gridCol w:w="60"/>
        <w:gridCol w:w="60"/>
        <w:gridCol w:w="77"/>
        <w:gridCol w:w="873"/>
        <w:gridCol w:w="60"/>
        <w:gridCol w:w="60"/>
        <w:gridCol w:w="60"/>
        <w:gridCol w:w="680"/>
        <w:gridCol w:w="60"/>
        <w:gridCol w:w="60"/>
        <w:gridCol w:w="70"/>
        <w:gridCol w:w="805"/>
        <w:gridCol w:w="60"/>
        <w:gridCol w:w="60"/>
        <w:gridCol w:w="321"/>
        <w:gridCol w:w="749"/>
        <w:gridCol w:w="290"/>
      </w:tblGrid>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center"/>
          </w:tcPr>
          <w:p>
            <w:pPr>
              <w:pStyle w:val="TableContents"/>
              <w:bidi w:val="0"/>
              <w:spacing w:before="0" w:after="0"/>
              <w:jc w:val="left"/>
              <w:rPr>
                <w:rFonts w:ascii="Times New Roman" w:hAnsi="Times New Roman"/>
                <w:b/>
                <w:sz w:val="13"/>
              </w:rPr>
            </w:pPr>
            <w:r>
              <w:rPr>
                <w:rFonts w:ascii="Times New Roman" w:hAnsi="Times New Roman"/>
                <w:b/>
                <w:sz w:val="13"/>
              </w:rPr>
              <w:t>Portfolio Company (a)(b)</w:t>
            </w:r>
          </w:p>
          <w:p>
            <w:pPr>
              <w:pStyle w:val="TableContents"/>
              <w:bidi w:val="0"/>
              <w:spacing w:before="0" w:after="0"/>
              <w:jc w:val="left"/>
              <w:rPr/>
            </w:pPr>
            <w:r>
              <w:rPr/>
              <w:t> </w:t>
            </w:r>
          </w:p>
          <w:p>
            <w:pPr>
              <w:pStyle w:val="TableContents"/>
              <w:pBdr>
                <w:bottom w:val="single" w:sz="8" w:space="1" w:color="000000"/>
              </w:pBdr>
              <w:bidi w:val="0"/>
              <w:spacing w:before="0" w:after="20"/>
              <w:jc w:val="left"/>
              <w:rPr>
                <w:rFonts w:ascii="Times New Roman" w:hAnsi="Times New Roman"/>
                <w:b/>
                <w:sz w:val="13"/>
              </w:rPr>
            </w:pPr>
            <w:r>
              <w:rPr>
                <w:rFonts w:ascii="Times New Roman" w:hAnsi="Times New Roman"/>
                <w:b/>
                <w:sz w:val="13"/>
              </w:rPr>
              <w:t>Address of Portfolio Company</w:t>
            </w:r>
          </w:p>
        </w:tc>
        <w:tc>
          <w:tcPr>
            <w:tcW w:w="60" w:type="dxa"/>
            <w:tcBorders/>
            <w:vAlign w:val="center"/>
          </w:tcPr>
          <w:p>
            <w:pPr>
              <w:pStyle w:val="TableContents"/>
              <w:bidi w:val="0"/>
              <w:spacing w:before="0" w:after="283"/>
              <w:jc w:val="left"/>
              <w:rPr/>
            </w:pPr>
            <w:r>
              <w:rPr/>
              <w:t> </w:t>
            </w:r>
          </w:p>
        </w:tc>
        <w:tc>
          <w:tcPr>
            <w:tcW w:w="179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Investment Type (c)</w:t>
            </w:r>
          </w:p>
        </w:tc>
        <w:tc>
          <w:tcPr>
            <w:tcW w:w="60" w:type="dxa"/>
            <w:tcBorders/>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Industry</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 Class</w:t>
              <w:br/>
              <w:t>Held (aw)</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Variable</w:t>
              <w:br/>
              <w:t>Index Spread</w:t>
              <w:br/>
              <w:t>/ Floor (d)</w:t>
            </w:r>
          </w:p>
        </w:tc>
        <w:tc>
          <w:tcPr>
            <w:tcW w:w="60" w:type="dxa"/>
            <w:tcBorders/>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Rate (e)</w:t>
              <w:br/>
              <w:t>Cash/PIK</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Investment</w:t>
              <w:br/>
              <w:t>Date (f)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Maturity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Principal</w:t>
              <w:b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Value (g)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 of</w:t>
              <w:br/>
              <w:t>Net Assets</w:t>
            </w:r>
          </w:p>
        </w:tc>
        <w:tc>
          <w:tcPr>
            <w:tcW w:w="290" w:type="dxa"/>
            <w:tcBorders/>
            <w:vAlign w:val="center"/>
          </w:tcPr>
          <w:p>
            <w:pPr>
              <w:pStyle w:val="TableContents"/>
              <w:bidi w:val="0"/>
              <w:spacing w:before="0" w:after="283"/>
              <w:jc w:val="left"/>
              <w:rPr/>
            </w:pPr>
            <w:r>
              <w:rPr/>
              <w:t> </w:t>
            </w:r>
          </w:p>
        </w:tc>
      </w:tr>
      <w:tr>
        <w:trPr/>
        <w:tc>
          <w:tcPr>
            <w:tcW w:w="1040"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Pinnergy, Ltd.</w:t>
            </w:r>
          </w:p>
        </w:tc>
        <w:tc>
          <w:tcPr>
            <w:tcW w:w="60"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Oil &amp; Gas Services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04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2801 Via Fortuna, Suite 440</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Subordinated Debt (j)</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9.00%/0.00%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6/30/2022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6/30/2027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12,850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12,801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12,850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2</w:t>
            </w:r>
          </w:p>
        </w:tc>
        <w:tc>
          <w:tcPr>
            <w:tcW w:w="290" w:type="dxa"/>
            <w:tcBorders/>
            <w:vAlign w:val="center"/>
          </w:tcPr>
          <w:p>
            <w:pPr>
              <w:pStyle w:val="TableContents"/>
              <w:bidi w:val="0"/>
              <w:spacing w:before="0" w:after="283"/>
              <w:jc w:val="left"/>
              <w:rPr/>
            </w:pPr>
            <w:r>
              <w:rPr/>
              <w:t>% </w:t>
            </w:r>
          </w:p>
        </w:tc>
      </w:tr>
      <w:tr>
        <w:trPr/>
        <w:tc>
          <w:tcPr>
            <w:tcW w:w="104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Austin, TX 78746</w:t>
            </w:r>
          </w:p>
        </w:tc>
        <w:tc>
          <w:tcPr>
            <w:tcW w:w="60"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040" w:type="dxa"/>
            <w:tcBorders/>
            <w:vAlign w:val="center"/>
          </w:tcPr>
          <w:p>
            <w:pPr>
              <w:pStyle w:val="TableContents"/>
              <w:bidi w:val="0"/>
              <w:spacing w:before="0" w:after="283"/>
              <w:jc w:val="left"/>
              <w:rPr>
                <w:sz w:val="4"/>
                <w:szCs w:val="4"/>
              </w:rPr>
            </w:pPr>
            <w:r>
              <w:rPr>
                <w:sz w:val="4"/>
                <w:szCs w:val="4"/>
              </w:rPr>
            </w:r>
          </w:p>
        </w:tc>
        <w:tc>
          <w:tcPr>
            <w:tcW w:w="185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Pool &amp; Electrical Products, LLC</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Specialty Distribution</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04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1595 E 6th St Ste 101</w:t>
            </w:r>
          </w:p>
        </w:tc>
        <w:tc>
          <w:tcPr>
            <w:tcW w:w="60"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pPr>
            <w:r>
              <w:rPr/>
              <w:t>Common Equity (15,000 units) (h)(j)</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0.07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10/28/2020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6,011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1</w:t>
            </w:r>
          </w:p>
        </w:tc>
        <w:tc>
          <w:tcPr>
            <w:tcW w:w="290" w:type="dxa"/>
            <w:tcBorders/>
            <w:shd w:fill="CCEEFF" w:val="cle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Corona, CA 92879</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center"/>
          </w:tcPr>
          <w:p>
            <w:pPr>
              <w:pStyle w:val="TableContents"/>
              <w:bidi w:val="0"/>
              <w:spacing w:before="0" w:after="283"/>
              <w:jc w:val="left"/>
              <w:rPr>
                <w:sz w:val="4"/>
                <w:szCs w:val="4"/>
              </w:rPr>
            </w:pPr>
            <w:r>
              <w:rPr>
                <w:sz w:val="4"/>
                <w:szCs w:val="4"/>
              </w:rPr>
            </w:r>
          </w:p>
        </w:tc>
        <w:tc>
          <w:tcPr>
            <w:tcW w:w="185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PowerGrid Services Acquisition, LLC</w:t>
            </w:r>
          </w:p>
        </w:tc>
        <w:tc>
          <w:tcPr>
            <w:tcW w:w="60"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Utilities: Services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04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2350 US Highway 31 NW</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Second Lien Debt (j)</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(S + 9.50%) / (1.00%)</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14.94%/0.00%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9/21/2021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3/21/2029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10,831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10,795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10,831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04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Hartselle, AL 35640</w:t>
            </w:r>
          </w:p>
        </w:tc>
        <w:tc>
          <w:tcPr>
            <w:tcW w:w="60"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pPr>
            <w:r>
              <w:rPr/>
              <w:t>Common Equity (5,461 units) (h)(j)</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0.11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9/21/2021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11,342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11,531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2</w:t>
            </w:r>
          </w:p>
        </w:tc>
        <w:tc>
          <w:tcPr>
            <w:tcW w:w="290" w:type="dxa"/>
            <w:tcBorders/>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left"/>
              <w:rPr>
                <w:sz w:val="4"/>
                <w:szCs w:val="4"/>
              </w:rPr>
            </w:pPr>
            <w:r>
              <w:rPr>
                <w:sz w:val="4"/>
                <w:szCs w:val="4"/>
              </w:rPr>
            </w:r>
          </w:p>
        </w:tc>
        <w:tc>
          <w:tcPr>
            <w:tcW w:w="185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Prime AE Group, Inc.</w:t>
            </w:r>
          </w:p>
        </w:tc>
        <w:tc>
          <w:tcPr>
            <w:tcW w:w="60"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Business Services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04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5521 Research Park Drive, Suite 300</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First Lien Debt (j)(ab)</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(S + 7.25%) / (2.00%)</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12.69%/0.00%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11/25/2019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11/25/2024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5,833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5,808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5,833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04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Baltimore, MD 21228</w:t>
            </w:r>
          </w:p>
        </w:tc>
        <w:tc>
          <w:tcPr>
            <w:tcW w:w="60"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pPr>
            <w:r>
              <w:rPr/>
              <w:t>Preferred Equity (900,000 shares) (j)</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1.04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11/25/2019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549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6,708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6,382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1</w:t>
            </w:r>
          </w:p>
        </w:tc>
        <w:tc>
          <w:tcPr>
            <w:tcW w:w="290" w:type="dxa"/>
            <w:tcBorders/>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left"/>
              <w:rPr>
                <w:sz w:val="4"/>
                <w:szCs w:val="4"/>
              </w:rPr>
            </w:pPr>
            <w:r>
              <w:rPr>
                <w:sz w:val="4"/>
                <w:szCs w:val="4"/>
              </w:rPr>
            </w:r>
          </w:p>
        </w:tc>
        <w:tc>
          <w:tcPr>
            <w:tcW w:w="185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Puget Collision, LLC</w:t>
            </w:r>
          </w:p>
        </w:tc>
        <w:tc>
          <w:tcPr>
            <w:tcW w:w="60"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Retail</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04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6811 South 204th Street Suite 290</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First Lien Debt (j)(av)</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(S + 7.00%) / (2.00%)</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13.09%/0.00%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1/4/2024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1/4/2029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22,232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21,976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21,976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04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Kent, WA 98032</w:t>
            </w:r>
          </w:p>
        </w:tc>
        <w:tc>
          <w:tcPr>
            <w:tcW w:w="60"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pPr>
            <w:r>
              <w:rPr/>
              <w:t>Common Equity (293 units) (h)(j)</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1/4/2024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22,726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22,726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4</w:t>
            </w:r>
          </w:p>
        </w:tc>
        <w:tc>
          <w:tcPr>
            <w:tcW w:w="290" w:type="dxa"/>
            <w:tcBorders/>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left"/>
              <w:rPr>
                <w:sz w:val="4"/>
                <w:szCs w:val="4"/>
              </w:rPr>
            </w:pPr>
            <w:r>
              <w:rPr>
                <w:sz w:val="4"/>
                <w:szCs w:val="4"/>
              </w:rPr>
            </w:r>
          </w:p>
        </w:tc>
        <w:tc>
          <w:tcPr>
            <w:tcW w:w="185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QED Technologies International, Inc.</w:t>
            </w:r>
          </w:p>
        </w:tc>
        <w:tc>
          <w:tcPr>
            <w:tcW w:w="60"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Component Manufacturing</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04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1040 University Ave.</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First Lien Debt (q)</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(S + 5.75%) / (1.50%)</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11.08%/0.50%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3/1/2023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3/1/2028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17,348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17,246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17,348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04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Rochester, NY 14607</w:t>
            </w:r>
          </w:p>
        </w:tc>
        <w:tc>
          <w:tcPr>
            <w:tcW w:w="60"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pPr>
            <w:r>
              <w:rPr/>
              <w:t>Common Equity (140 shares) (j)</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1.30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2/28/2023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1,402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2,267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18,648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19,615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3</w:t>
            </w:r>
          </w:p>
        </w:tc>
        <w:tc>
          <w:tcPr>
            <w:tcW w:w="290" w:type="dxa"/>
            <w:tcBorders/>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left"/>
              <w:rPr>
                <w:sz w:val="4"/>
                <w:szCs w:val="4"/>
              </w:rPr>
            </w:pPr>
            <w:r>
              <w:rPr>
                <w:sz w:val="4"/>
                <w:szCs w:val="4"/>
              </w:rPr>
            </w:r>
          </w:p>
        </w:tc>
        <w:tc>
          <w:tcPr>
            <w:tcW w:w="185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Quantum IR Technologies, LLC</w:t>
            </w:r>
          </w:p>
        </w:tc>
        <w:tc>
          <w:tcPr>
            <w:tcW w:w="60"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Information Technology Services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04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101 S 200 East</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First Lien Debt (j)</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14.00%/0.00%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3/19/2024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12/20/2026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12,000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11,956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11,956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04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Salt Lake City, UT 84111</w:t>
            </w:r>
          </w:p>
        </w:tc>
        <w:tc>
          <w:tcPr>
            <w:tcW w:w="60"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pPr>
            <w:r>
              <w:rPr/>
              <w:t>Common Equity (12,183 shares) (j)</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1.47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3/19/2024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2,400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14,356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14,356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2</w:t>
            </w:r>
          </w:p>
        </w:tc>
        <w:tc>
          <w:tcPr>
            <w:tcW w:w="290" w:type="dxa"/>
            <w:tcBorders/>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left"/>
              <w:rPr>
                <w:sz w:val="4"/>
                <w:szCs w:val="4"/>
              </w:rPr>
            </w:pPr>
            <w:r>
              <w:rPr>
                <w:sz w:val="4"/>
                <w:szCs w:val="4"/>
              </w:rPr>
            </w:r>
          </w:p>
        </w:tc>
        <w:tc>
          <w:tcPr>
            <w:tcW w:w="185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Quest Software US Holdings Inc.</w:t>
            </w:r>
          </w:p>
        </w:tc>
        <w:tc>
          <w:tcPr>
            <w:tcW w:w="60"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Information Technology Services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04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4 Polaris Way</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Second Lien Debt (j)</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(S + 7.50%) / (0.50%)</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12.96%/0.00%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3/1/2022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2/1/2030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20,000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19,471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14,965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2</w:t>
            </w:r>
          </w:p>
        </w:tc>
        <w:tc>
          <w:tcPr>
            <w:tcW w:w="290" w:type="dxa"/>
            <w:tcBorders/>
            <w:vAlign w:val="center"/>
          </w:tcPr>
          <w:p>
            <w:pPr>
              <w:pStyle w:val="TableContents"/>
              <w:bidi w:val="0"/>
              <w:spacing w:before="0" w:after="283"/>
              <w:jc w:val="left"/>
              <w:rPr/>
            </w:pPr>
            <w:r>
              <w:rPr/>
              <w:t>% </w:t>
            </w:r>
          </w:p>
        </w:tc>
      </w:tr>
      <w:tr>
        <w:trPr/>
        <w:tc>
          <w:tcPr>
            <w:tcW w:w="104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Aliso Viejo, CA 92656</w:t>
            </w:r>
          </w:p>
        </w:tc>
        <w:tc>
          <w:tcPr>
            <w:tcW w:w="60"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bidi w:val="0"/>
        <w:jc w:val="left"/>
        <w:rPr/>
      </w:pPr>
      <w:r>
        <w:rPr/>
      </w:r>
    </w:p>
    <w:tbl>
      <w:tblPr>
        <w:tblW w:w="14230" w:type="dxa"/>
        <w:jc w:val="left"/>
        <w:tblInd w:w="0" w:type="dxa"/>
        <w:tblLayout w:type="fixed"/>
        <w:tblCellMar>
          <w:top w:w="0" w:type="dxa"/>
          <w:left w:w="0" w:type="dxa"/>
          <w:bottom w:w="0" w:type="dxa"/>
          <w:right w:w="0" w:type="dxa"/>
        </w:tblCellMar>
      </w:tblPr>
      <w:tblGrid>
        <w:gridCol w:w="1175"/>
        <w:gridCol w:w="60"/>
        <w:gridCol w:w="1670"/>
        <w:gridCol w:w="60"/>
        <w:gridCol w:w="1415"/>
        <w:gridCol w:w="60"/>
        <w:gridCol w:w="137"/>
        <w:gridCol w:w="1008"/>
        <w:gridCol w:w="275"/>
        <w:gridCol w:w="60"/>
        <w:gridCol w:w="830"/>
        <w:gridCol w:w="60"/>
        <w:gridCol w:w="755"/>
        <w:gridCol w:w="60"/>
        <w:gridCol w:w="60"/>
        <w:gridCol w:w="1085"/>
        <w:gridCol w:w="60"/>
        <w:gridCol w:w="60"/>
        <w:gridCol w:w="60"/>
        <w:gridCol w:w="875"/>
        <w:gridCol w:w="60"/>
        <w:gridCol w:w="60"/>
        <w:gridCol w:w="77"/>
        <w:gridCol w:w="873"/>
        <w:gridCol w:w="60"/>
        <w:gridCol w:w="60"/>
        <w:gridCol w:w="60"/>
        <w:gridCol w:w="680"/>
        <w:gridCol w:w="60"/>
        <w:gridCol w:w="60"/>
        <w:gridCol w:w="70"/>
        <w:gridCol w:w="805"/>
        <w:gridCol w:w="60"/>
        <w:gridCol w:w="60"/>
        <w:gridCol w:w="321"/>
        <w:gridCol w:w="749"/>
        <w:gridCol w:w="290"/>
      </w:tblGrid>
      <w:tr>
        <w:trPr/>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0"/>
              <w:jc w:val="left"/>
              <w:rPr>
                <w:rFonts w:ascii="Times New Roman" w:hAnsi="Times New Roman"/>
                <w:b/>
                <w:sz w:val="13"/>
              </w:rPr>
            </w:pPr>
            <w:r>
              <w:rPr>
                <w:rFonts w:ascii="Times New Roman" w:hAnsi="Times New Roman"/>
                <w:b/>
                <w:sz w:val="13"/>
              </w:rPr>
              <w:t>Portfolio Company (a)(b)</w:t>
            </w:r>
          </w:p>
          <w:p>
            <w:pPr>
              <w:pStyle w:val="TableContents"/>
              <w:bidi w:val="0"/>
              <w:spacing w:before="0" w:after="0"/>
              <w:jc w:val="left"/>
              <w:rPr/>
            </w:pPr>
            <w:r>
              <w:rPr/>
              <w:t> </w:t>
            </w:r>
          </w:p>
          <w:p>
            <w:pPr>
              <w:pStyle w:val="TableContents"/>
              <w:pBdr>
                <w:bottom w:val="single" w:sz="8" w:space="1" w:color="000000"/>
              </w:pBdr>
              <w:bidi w:val="0"/>
              <w:spacing w:before="0" w:after="20"/>
              <w:jc w:val="left"/>
              <w:rPr>
                <w:rFonts w:ascii="Times New Roman" w:hAnsi="Times New Roman"/>
                <w:b/>
                <w:sz w:val="13"/>
              </w:rPr>
            </w:pPr>
            <w:r>
              <w:rPr>
                <w:rFonts w:ascii="Times New Roman" w:hAnsi="Times New Roman"/>
                <w:b/>
                <w:sz w:val="13"/>
              </w:rPr>
              <w:t>Address of Portfolio Company</w:t>
            </w:r>
          </w:p>
        </w:tc>
        <w:tc>
          <w:tcPr>
            <w:tcW w:w="60" w:type="dxa"/>
            <w:tcBorders/>
            <w:vAlign w:val="center"/>
          </w:tcPr>
          <w:p>
            <w:pPr>
              <w:pStyle w:val="TableContents"/>
              <w:bidi w:val="0"/>
              <w:spacing w:before="0" w:after="283"/>
              <w:jc w:val="left"/>
              <w:rPr/>
            </w:pPr>
            <w:r>
              <w:rPr/>
              <w:t> </w:t>
            </w:r>
          </w:p>
        </w:tc>
        <w:tc>
          <w:tcPr>
            <w:tcW w:w="167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Investment Type (c)</w:t>
            </w:r>
          </w:p>
        </w:tc>
        <w:tc>
          <w:tcPr>
            <w:tcW w:w="60" w:type="dxa"/>
            <w:tcBorders/>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Industry</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 Class</w:t>
              <w:br/>
              <w:t>Held (aw)</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Variable</w:t>
              <w:br/>
              <w:t>Index Spread</w:t>
              <w:br/>
              <w:t>/ Floor (d)</w:t>
            </w:r>
          </w:p>
        </w:tc>
        <w:tc>
          <w:tcPr>
            <w:tcW w:w="60" w:type="dxa"/>
            <w:tcBorders/>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Rate (e)</w:t>
              <w:br/>
              <w:t>Cash/PIK</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Investment</w:t>
              <w:br/>
              <w:t>Date (f)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Maturity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Principal</w:t>
              <w:b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Value (g)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 of</w:t>
              <w:br/>
              <w:t>Net Assets</w:t>
            </w:r>
          </w:p>
        </w:tc>
        <w:tc>
          <w:tcPr>
            <w:tcW w:w="290" w:type="dxa"/>
            <w:tcBorders/>
            <w:vAlign w:val="center"/>
          </w:tcPr>
          <w:p>
            <w:pPr>
              <w:pStyle w:val="TableContents"/>
              <w:bidi w:val="0"/>
              <w:spacing w:before="0" w:after="283"/>
              <w:jc w:val="left"/>
              <w:rPr/>
            </w:pPr>
            <w:r>
              <w:rPr/>
              <w:t> </w:t>
            </w:r>
          </w:p>
        </w:tc>
      </w:tr>
      <w:tr>
        <w:trPr/>
        <w:tc>
          <w:tcPr>
            <w:tcW w:w="1175"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R1 Holdings, LLC (dba RoadOne IntermodaLogistics)</w:t>
            </w:r>
          </w:p>
        </w:tc>
        <w:tc>
          <w:tcPr>
            <w:tcW w:w="60"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Transportation services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1 Kellaway Drive</w:t>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First Lien Debt ($1,596 unfunded commitment) (j)(w)</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(S + 6.25%) / (1.00%)</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11.47%/0.00%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12/30/2022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12/30/2028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6,327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6,155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6,327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17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Randolph, MA 02368</w:t>
            </w:r>
          </w:p>
        </w:tc>
        <w:tc>
          <w:tcPr>
            <w:tcW w:w="60"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283"/>
              <w:jc w:val="left"/>
              <w:rPr/>
            </w:pPr>
            <w:r>
              <w:rPr/>
              <w:t>Subordinated Debt ($417 unfunded commitment) (j)(w)</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8.75%/5.00%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12/30/2022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6/30/2029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1,420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1,383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1,420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Common Equity (280,000 units) ($70 unfunded commitment) (j)</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0.10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12/30/2022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296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7,818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8,043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1</w:t>
            </w:r>
          </w:p>
        </w:tc>
        <w:tc>
          <w:tcPr>
            <w:tcW w:w="290" w:type="dxa"/>
            <w:tcBorders/>
            <w:shd w:fill="CCEEFF" w:val="clear"/>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173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R.F. Fager Company LLC</w:t>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Specialty Distribution</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17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2058 State Road</w:t>
            </w:r>
          </w:p>
        </w:tc>
        <w:tc>
          <w:tcPr>
            <w:tcW w:w="60"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283"/>
              <w:jc w:val="left"/>
              <w:rPr/>
            </w:pPr>
            <w:r>
              <w:rPr/>
              <w:t>Second Lien Debt (j)</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12.75%/0.00%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3/4/2024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8/4/2030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14,000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13,922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13,922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Camp Hill, PA 17011</w:t>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Common Equity (12,500 units) (h)(j)</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1.70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3/4/2024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1,250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1,250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15,172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15,172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2</w:t>
            </w:r>
          </w:p>
        </w:tc>
        <w:tc>
          <w:tcPr>
            <w:tcW w:w="290" w:type="dxa"/>
            <w:tcBorders/>
            <w:shd w:fill="CCEEFF" w:val="clear"/>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173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Rhino Assembly Company, LLC (n)</w:t>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Specialty Distribution</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17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7575 Westwinds Blvd., Suite A</w:t>
            </w:r>
          </w:p>
        </w:tc>
        <w:tc>
          <w:tcPr>
            <w:tcW w:w="60"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283"/>
              <w:jc w:val="left"/>
              <w:rPr/>
            </w:pPr>
            <w:r>
              <w:rPr/>
              <w:t>Common Equity (Class A Units) (10,915) (h)(j)</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3.80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8/11/2017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Concord, NC 28027</w:t>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Private Equity (Units N/A) (h)(j)</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12/10/2020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283"/>
              <w:jc w:val="left"/>
              <w:rPr/>
            </w:pPr>
            <w:r>
              <w:rPr/>
              <w:t>Common Equity (Class F Units) (710 units) (h)(j)</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0.30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12/10/2020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0</w:t>
            </w:r>
          </w:p>
        </w:tc>
        <w:tc>
          <w:tcPr>
            <w:tcW w:w="290" w:type="dxa"/>
            <w:tcBorders/>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173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1175"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Road Safety Services, Inc. (n)</w:t>
            </w:r>
          </w:p>
        </w:tc>
        <w:tc>
          <w:tcPr>
            <w:tcW w:w="60"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Business Services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11620 Arbor Street, Suite 101</w:t>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Common Equity (779) (j)</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1.60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9/18/2018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17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Omaha, NE 68144</w:t>
            </w:r>
          </w:p>
        </w:tc>
        <w:tc>
          <w:tcPr>
            <w:tcW w:w="60"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283"/>
              <w:jc w:val="left"/>
              <w:rPr/>
            </w:pPr>
            <w:r>
              <w:rPr/>
              <w:t>Common Equity (97 units) (j)</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0.20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2/3/2023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0</w:t>
            </w:r>
          </w:p>
        </w:tc>
        <w:tc>
          <w:tcPr>
            <w:tcW w:w="290" w:type="dxa"/>
            <w:tcBorders/>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173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1175"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ServicePower, Inc.</w:t>
            </w:r>
          </w:p>
        </w:tc>
        <w:tc>
          <w:tcPr>
            <w:tcW w:w="60"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Information Technology Services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8180 Greensboro Drive, Suite 600</w:t>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First Lien Debt (k)(au)</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(S + 8.00%) / (3.25%)</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13.33%/0.00%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3/15/2024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3/15/2028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21,000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20,692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20,692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3</w:t>
            </w:r>
          </w:p>
        </w:tc>
        <w:tc>
          <w:tcPr>
            <w:tcW w:w="290" w:type="dxa"/>
            <w:tcBorders/>
            <w:vAlign w:val="center"/>
          </w:tcPr>
          <w:p>
            <w:pPr>
              <w:pStyle w:val="TableContents"/>
              <w:bidi w:val="0"/>
              <w:spacing w:before="0" w:after="283"/>
              <w:jc w:val="left"/>
              <w:rPr/>
            </w:pPr>
            <w:r>
              <w:rPr/>
              <w:t>% </w:t>
            </w:r>
          </w:p>
        </w:tc>
      </w:tr>
      <w:tr>
        <w:trPr/>
        <w:tc>
          <w:tcPr>
            <w:tcW w:w="117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McLean, VA 22102</w:t>
            </w:r>
          </w:p>
        </w:tc>
        <w:tc>
          <w:tcPr>
            <w:tcW w:w="60"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283"/>
              <w:jc w:val="left"/>
              <w:rPr>
                <w:sz w:val="4"/>
                <w:szCs w:val="4"/>
              </w:rPr>
            </w:pPr>
            <w:r>
              <w:rPr>
                <w:sz w:val="4"/>
                <w:szCs w:val="4"/>
              </w:rPr>
            </w:r>
          </w:p>
        </w:tc>
        <w:tc>
          <w:tcPr>
            <w:tcW w:w="173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SES Investors, LLC (dba SES Foam) (n)</w:t>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Building Products Manufacturing</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17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2400 Spring Stuebner Rd.</w:t>
            </w:r>
          </w:p>
        </w:tc>
        <w:tc>
          <w:tcPr>
            <w:tcW w:w="60"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283"/>
              <w:jc w:val="left"/>
              <w:rPr/>
            </w:pPr>
            <w:r>
              <w:rPr/>
              <w:t>Common Equity (6,000 units) (h)(j)</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4.30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9/8/2016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0</w:t>
            </w:r>
          </w:p>
        </w:tc>
        <w:tc>
          <w:tcPr>
            <w:tcW w:w="290" w:type="dxa"/>
            <w:tcBorders/>
            <w:shd w:fill="CCEEFF" w:val="clear"/>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Spring, TX 77389</w:t>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283"/>
              <w:jc w:val="left"/>
              <w:rPr>
                <w:sz w:val="4"/>
                <w:szCs w:val="4"/>
              </w:rPr>
            </w:pPr>
            <w:r>
              <w:rPr>
                <w:sz w:val="4"/>
                <w:szCs w:val="4"/>
              </w:rPr>
            </w:r>
          </w:p>
        </w:tc>
        <w:tc>
          <w:tcPr>
            <w:tcW w:w="173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1175"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Sonicwall US Holdings, Inc.</w:t>
            </w:r>
          </w:p>
        </w:tc>
        <w:tc>
          <w:tcPr>
            <w:tcW w:w="60"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Information Technology Services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1033 McCarthy Blvd</w:t>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Second Lien Debt (j)</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(S + 7.50%) / (0.00%)</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12.96%/0.00%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9/6/2022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5/18/2026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3,581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3,411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3,405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1</w:t>
            </w:r>
          </w:p>
        </w:tc>
        <w:tc>
          <w:tcPr>
            <w:tcW w:w="290" w:type="dxa"/>
            <w:tcBorders/>
            <w:vAlign w:val="center"/>
          </w:tcPr>
          <w:p>
            <w:pPr>
              <w:pStyle w:val="TableContents"/>
              <w:bidi w:val="0"/>
              <w:spacing w:before="0" w:after="283"/>
              <w:jc w:val="left"/>
              <w:rPr/>
            </w:pPr>
            <w:r>
              <w:rPr/>
              <w:t>% </w:t>
            </w:r>
          </w:p>
        </w:tc>
      </w:tr>
      <w:tr>
        <w:trPr/>
        <w:tc>
          <w:tcPr>
            <w:tcW w:w="117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Milpitas, CA 95035</w:t>
            </w:r>
          </w:p>
        </w:tc>
        <w:tc>
          <w:tcPr>
            <w:tcW w:w="60"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283"/>
              <w:jc w:val="left"/>
              <w:rPr>
                <w:sz w:val="4"/>
                <w:szCs w:val="4"/>
              </w:rPr>
            </w:pPr>
            <w:r>
              <w:rPr>
                <w:sz w:val="4"/>
                <w:szCs w:val="4"/>
              </w:rPr>
            </w:r>
          </w:p>
        </w:tc>
        <w:tc>
          <w:tcPr>
            <w:tcW w:w="173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Suited Connector LLC</w:t>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Information Technology Services</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17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8123 Interport Blvd.</w:t>
            </w:r>
          </w:p>
        </w:tc>
        <w:tc>
          <w:tcPr>
            <w:tcW w:w="60"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283"/>
              <w:jc w:val="left"/>
              <w:rPr/>
            </w:pPr>
            <w:r>
              <w:rPr/>
              <w:t>Second Lien Debt (j)(y)</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0.00%/12.00%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10/29/2021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6/1/2028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16,000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15,933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4,866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Englewood, CO 80112</w:t>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Common Equity (56,382 units) (h)(j)</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0.78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12/1/2021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836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16,769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4,866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1</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bidi w:val="0"/>
        <w:jc w:val="left"/>
        <w:rPr/>
      </w:pPr>
      <w:r>
        <w:rPr/>
      </w:r>
    </w:p>
    <w:tbl>
      <w:tblPr>
        <w:tblW w:w="13500" w:type="dxa"/>
        <w:jc w:val="left"/>
        <w:tblInd w:w="0" w:type="dxa"/>
        <w:tblLayout w:type="fixed"/>
        <w:tblCellMar>
          <w:top w:w="0" w:type="dxa"/>
          <w:left w:w="0" w:type="dxa"/>
          <w:bottom w:w="0" w:type="dxa"/>
          <w:right w:w="0" w:type="dxa"/>
        </w:tblCellMar>
      </w:tblPr>
      <w:tblGrid>
        <w:gridCol w:w="740"/>
        <w:gridCol w:w="60"/>
        <w:gridCol w:w="1280"/>
        <w:gridCol w:w="60"/>
        <w:gridCol w:w="1415"/>
        <w:gridCol w:w="60"/>
        <w:gridCol w:w="137"/>
        <w:gridCol w:w="1008"/>
        <w:gridCol w:w="275"/>
        <w:gridCol w:w="60"/>
        <w:gridCol w:w="830"/>
        <w:gridCol w:w="60"/>
        <w:gridCol w:w="755"/>
        <w:gridCol w:w="60"/>
        <w:gridCol w:w="60"/>
        <w:gridCol w:w="1085"/>
        <w:gridCol w:w="60"/>
        <w:gridCol w:w="60"/>
        <w:gridCol w:w="60"/>
        <w:gridCol w:w="875"/>
        <w:gridCol w:w="60"/>
        <w:gridCol w:w="60"/>
        <w:gridCol w:w="77"/>
        <w:gridCol w:w="873"/>
        <w:gridCol w:w="60"/>
        <w:gridCol w:w="60"/>
        <w:gridCol w:w="60"/>
        <w:gridCol w:w="680"/>
        <w:gridCol w:w="155"/>
        <w:gridCol w:w="60"/>
        <w:gridCol w:w="70"/>
        <w:gridCol w:w="805"/>
        <w:gridCol w:w="60"/>
        <w:gridCol w:w="60"/>
        <w:gridCol w:w="321"/>
        <w:gridCol w:w="749"/>
        <w:gridCol w:w="290"/>
      </w:tblGrid>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Times New Roman" w:hAnsi="Times New Roman"/>
                <w:b/>
                <w:sz w:val="13"/>
              </w:rPr>
            </w:pPr>
            <w:r>
              <w:rPr>
                <w:rFonts w:ascii="Times New Roman" w:hAnsi="Times New Roman"/>
                <w:b/>
                <w:sz w:val="13"/>
              </w:rPr>
              <w:t>Portfolio Company (a)(b)</w:t>
            </w:r>
          </w:p>
          <w:p>
            <w:pPr>
              <w:pStyle w:val="TableContents"/>
              <w:bidi w:val="0"/>
              <w:spacing w:before="0" w:after="0"/>
              <w:jc w:val="left"/>
              <w:rPr/>
            </w:pPr>
            <w:r>
              <w:rPr/>
              <w:t> </w:t>
            </w:r>
          </w:p>
          <w:p>
            <w:pPr>
              <w:pStyle w:val="TableContents"/>
              <w:pBdr>
                <w:bottom w:val="single" w:sz="8" w:space="1" w:color="000000"/>
              </w:pBdr>
              <w:bidi w:val="0"/>
              <w:spacing w:before="0" w:after="20"/>
              <w:jc w:val="left"/>
              <w:rPr>
                <w:rFonts w:ascii="Times New Roman" w:hAnsi="Times New Roman"/>
                <w:b/>
                <w:sz w:val="13"/>
              </w:rPr>
            </w:pPr>
            <w:r>
              <w:rPr>
                <w:rFonts w:ascii="Times New Roman" w:hAnsi="Times New Roman"/>
                <w:b/>
                <w:sz w:val="13"/>
              </w:rPr>
              <w:t>Address of Portfolio Company</w:t>
            </w:r>
          </w:p>
        </w:tc>
        <w:tc>
          <w:tcPr>
            <w:tcW w:w="60" w:type="dxa"/>
            <w:tcBorders/>
            <w:vAlign w:val="center"/>
          </w:tcPr>
          <w:p>
            <w:pPr>
              <w:pStyle w:val="TableContents"/>
              <w:bidi w:val="0"/>
              <w:spacing w:before="0" w:after="283"/>
              <w:jc w:val="left"/>
              <w:rPr/>
            </w:pPr>
            <w:r>
              <w:rPr/>
              <w:t> </w:t>
            </w:r>
          </w:p>
        </w:tc>
        <w:tc>
          <w:tcPr>
            <w:tcW w:w="12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Investment Type (c)</w:t>
            </w:r>
          </w:p>
        </w:tc>
        <w:tc>
          <w:tcPr>
            <w:tcW w:w="60" w:type="dxa"/>
            <w:tcBorders/>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Industry</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 Class</w:t>
              <w:br/>
              <w:t>Held (aw)</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Variable</w:t>
              <w:br/>
              <w:t>Index Spread</w:t>
              <w:br/>
              <w:t>/ Floor (d)</w:t>
            </w:r>
          </w:p>
        </w:tc>
        <w:tc>
          <w:tcPr>
            <w:tcW w:w="60" w:type="dxa"/>
            <w:tcBorders/>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Rate (e)</w:t>
              <w:br/>
              <w:t>Cash/PIK</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Investment</w:t>
              <w:br/>
              <w:t>Date (f)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Maturity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Principal</w:t>
              <w:b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Cost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Value (g)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 of</w:t>
              <w:br/>
              <w:t>Net Assets</w:t>
            </w:r>
          </w:p>
        </w:tc>
        <w:tc>
          <w:tcPr>
            <w:tcW w:w="290" w:type="dxa"/>
            <w:tcBorders/>
            <w:vAlign w:val="center"/>
          </w:tcPr>
          <w:p>
            <w:pPr>
              <w:pStyle w:val="TableContents"/>
              <w:bidi w:val="0"/>
              <w:spacing w:before="0" w:after="283"/>
              <w:jc w:val="left"/>
              <w:rPr/>
            </w:pPr>
            <w:r>
              <w:rPr/>
              <w:t> </w:t>
            </w:r>
          </w:p>
        </w:tc>
      </w:tr>
      <w:tr>
        <w:trPr/>
        <w:tc>
          <w:tcPr>
            <w:tcW w:w="740"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Tedia Company, LLC</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Healthcare Products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100 Tedia Way</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First Lien Debt (j)</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(S + 7.75%) / (1.00%)</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13.34%/0.00%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3/4/2022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3/4/2027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15,600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15,549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15,600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74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Fairfield, OH 45014</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Revolving Loan ($2,400 unfunded commitment) (j)(i)</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(S + 7.75%) / (1.00%)</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13.34%/0.00%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3/4/2022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3/4/2027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Subordinated Debt (j)</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7.25%/7.25%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3/4/2022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9/4/2027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2,909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2,900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2,770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Preferred Equity (1,000 units) (h)(j)</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4.43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3/4/2022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502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19,436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18,872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3</w:t>
            </w:r>
          </w:p>
        </w:tc>
        <w:tc>
          <w:tcPr>
            <w:tcW w:w="29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955"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740"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Tiger Calcium Services Inc. (aq)</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Transportation services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Suite 740, 1015 – 4th St. SW</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Second Lien Debt (j) (ao)</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12.50%/0.00%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12/21/2022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5/31/2025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12,500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12,470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12,500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2</w:t>
            </w:r>
          </w:p>
        </w:tc>
        <w:tc>
          <w:tcPr>
            <w:tcW w:w="290" w:type="dxa"/>
            <w:tcBorders/>
            <w:vAlign w:val="center"/>
          </w:tcPr>
          <w:p>
            <w:pPr>
              <w:pStyle w:val="TableContents"/>
              <w:bidi w:val="0"/>
              <w:spacing w:before="0" w:after="283"/>
              <w:jc w:val="left"/>
              <w:rPr/>
            </w:pPr>
            <w:r>
              <w:rPr/>
              <w:t>% </w:t>
            </w:r>
          </w:p>
        </w:tc>
      </w:tr>
      <w:tr>
        <w:trPr/>
        <w:tc>
          <w:tcPr>
            <w:tcW w:w="74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Calgary, AB T2R 1J4 Canada</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955"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UBEO, LLC</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Business Services</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74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401 East Sonterra Blvd, Suite 350</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Common Equity (705,000 units) (h)(j)</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0.91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4/3/2018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2,203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0</w:t>
            </w:r>
          </w:p>
        </w:tc>
        <w:tc>
          <w:tcPr>
            <w:tcW w:w="290" w:type="dxa"/>
            <w:tcBorders/>
            <w:shd w:fill="CCEEFF" w:val="clear"/>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San Antonio, TX 78258</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955"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740"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United Biologics, LLC</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Healthcare Services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70 NE Loop 410, Suite 600</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Preferred Equity (98,377 units) (h)(j)</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1.06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4/1/2012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891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74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San Antonio, TX 78216</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Warrant (57,469 units) (j)(m)</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0.60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3/5/2012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565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1,456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0</w:t>
            </w:r>
          </w:p>
        </w:tc>
        <w:tc>
          <w:tcPr>
            <w:tcW w:w="29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955"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740"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US Fertility Enterprises, LLC</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Healthcare Services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9600 Blackwell Road, Suite 500</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Subordinated Debt (j)</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0.00%/13.75%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5/19/2023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6/1/2028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14,087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13,775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14,087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2</w:t>
            </w:r>
          </w:p>
        </w:tc>
        <w:tc>
          <w:tcPr>
            <w:tcW w:w="290" w:type="dxa"/>
            <w:tcBorders/>
            <w:vAlign w:val="center"/>
          </w:tcPr>
          <w:p>
            <w:pPr>
              <w:pStyle w:val="TableContents"/>
              <w:bidi w:val="0"/>
              <w:spacing w:before="0" w:after="283"/>
              <w:jc w:val="left"/>
              <w:rPr/>
            </w:pPr>
            <w:r>
              <w:rPr/>
              <w:t>% </w:t>
            </w:r>
          </w:p>
        </w:tc>
      </w:tr>
      <w:tr>
        <w:trPr/>
        <w:tc>
          <w:tcPr>
            <w:tcW w:w="74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Rockville, MD 20850</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955"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USG AS Holdings, LLC</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Utilities: Services</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74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535 Courtney Hodges Blvd</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First Lien Debt (j)</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(S + 8.50%) / (2.50%)</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13.98%/0.00%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2/23/2023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2/23/2028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9,922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Perry, GA 31069</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Common Equity (Units N/A) (j)</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1.70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2/21/2023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455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745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80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10,377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10,745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2</w:t>
            </w:r>
          </w:p>
        </w:tc>
        <w:tc>
          <w:tcPr>
            <w:tcW w:w="290" w:type="dxa"/>
            <w:tcBorders/>
            <w:shd w:fill="CCEEFF" w:val="clear"/>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955"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Virginia Tile Company, LLC</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Specialty Distribution</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74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28320 Plymouth Road</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Common Equity (17 units) (j)</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1.40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12/19/2014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181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1,270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0</w:t>
            </w:r>
          </w:p>
        </w:tc>
        <w:tc>
          <w:tcPr>
            <w:tcW w:w="290" w:type="dxa"/>
            <w:tcBorders/>
            <w:shd w:fill="CCEEFF" w:val="clear"/>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Livonia, MI 48150</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955"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740"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Virtex Enterprises, LP</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Component Manufacturing</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16310 Bratton Lane</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Second Lien Debt (y)</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(S + 0.00%) / (2.50%)</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5.43%/9.75%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4/13/2022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6/30/2026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11,002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10,906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5,217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74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Austin, TX 78728</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Subordinated Debt</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(S + 4.00%) / (2.50%)</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9.43%/0.00%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9/20/2023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12/31/2025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359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357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338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11,263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5,555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1</w:t>
            </w:r>
          </w:p>
        </w:tc>
        <w:tc>
          <w:tcPr>
            <w:tcW w:w="29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bidi w:val="0"/>
        <w:jc w:val="left"/>
        <w:rPr/>
      </w:pPr>
      <w:r>
        <w:rPr/>
      </w:r>
    </w:p>
    <w:tbl>
      <w:tblPr>
        <w:tblW w:w="15170" w:type="dxa"/>
        <w:jc w:val="left"/>
        <w:tblInd w:w="0" w:type="dxa"/>
        <w:tblLayout w:type="fixed"/>
        <w:tblCellMar>
          <w:top w:w="0" w:type="dxa"/>
          <w:left w:w="0" w:type="dxa"/>
          <w:bottom w:w="0" w:type="dxa"/>
          <w:right w:w="0" w:type="dxa"/>
        </w:tblCellMar>
      </w:tblPr>
      <w:tblGrid>
        <w:gridCol w:w="980"/>
        <w:gridCol w:w="60"/>
        <w:gridCol w:w="1790"/>
        <w:gridCol w:w="60"/>
        <w:gridCol w:w="1415"/>
        <w:gridCol w:w="60"/>
        <w:gridCol w:w="137"/>
        <w:gridCol w:w="1008"/>
        <w:gridCol w:w="275"/>
        <w:gridCol w:w="60"/>
        <w:gridCol w:w="1220"/>
        <w:gridCol w:w="60"/>
        <w:gridCol w:w="755"/>
        <w:gridCol w:w="60"/>
        <w:gridCol w:w="60"/>
        <w:gridCol w:w="1085"/>
        <w:gridCol w:w="60"/>
        <w:gridCol w:w="60"/>
        <w:gridCol w:w="60"/>
        <w:gridCol w:w="875"/>
        <w:gridCol w:w="60"/>
        <w:gridCol w:w="60"/>
        <w:gridCol w:w="77"/>
        <w:gridCol w:w="873"/>
        <w:gridCol w:w="60"/>
        <w:gridCol w:w="60"/>
        <w:gridCol w:w="140"/>
        <w:gridCol w:w="980"/>
        <w:gridCol w:w="60"/>
        <w:gridCol w:w="60"/>
        <w:gridCol w:w="140"/>
        <w:gridCol w:w="980"/>
        <w:gridCol w:w="60"/>
        <w:gridCol w:w="60"/>
        <w:gridCol w:w="145"/>
        <w:gridCol w:w="925"/>
        <w:gridCol w:w="290"/>
      </w:tblGrid>
      <w:tr>
        <w:trPr/>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0"/>
              <w:jc w:val="left"/>
              <w:rPr>
                <w:rFonts w:ascii="Times New Roman" w:hAnsi="Times New Roman"/>
                <w:b/>
                <w:sz w:val="13"/>
              </w:rPr>
            </w:pPr>
            <w:r>
              <w:rPr>
                <w:rFonts w:ascii="Times New Roman" w:hAnsi="Times New Roman"/>
                <w:b/>
                <w:sz w:val="13"/>
              </w:rPr>
              <w:t>Portfolio Company (a)(b)</w:t>
            </w:r>
          </w:p>
          <w:p>
            <w:pPr>
              <w:pStyle w:val="TableContents"/>
              <w:bidi w:val="0"/>
              <w:spacing w:before="0" w:after="0"/>
              <w:jc w:val="left"/>
              <w:rPr/>
            </w:pPr>
            <w:r>
              <w:rPr/>
              <w:t> </w:t>
            </w:r>
          </w:p>
          <w:p>
            <w:pPr>
              <w:pStyle w:val="TableContents"/>
              <w:pBdr>
                <w:bottom w:val="single" w:sz="8" w:space="1" w:color="000000"/>
              </w:pBdr>
              <w:bidi w:val="0"/>
              <w:spacing w:before="0" w:after="20"/>
              <w:jc w:val="left"/>
              <w:rPr>
                <w:rFonts w:ascii="Times New Roman" w:hAnsi="Times New Roman"/>
                <w:b/>
                <w:sz w:val="13"/>
              </w:rPr>
            </w:pPr>
            <w:r>
              <w:rPr>
                <w:rFonts w:ascii="Times New Roman" w:hAnsi="Times New Roman"/>
                <w:b/>
                <w:sz w:val="13"/>
              </w:rPr>
              <w:t>Address of Portfolio Company</w:t>
            </w:r>
          </w:p>
        </w:tc>
        <w:tc>
          <w:tcPr>
            <w:tcW w:w="60" w:type="dxa"/>
            <w:tcBorders/>
            <w:vAlign w:val="center"/>
          </w:tcPr>
          <w:p>
            <w:pPr>
              <w:pStyle w:val="TableContents"/>
              <w:bidi w:val="0"/>
              <w:spacing w:before="0" w:after="283"/>
              <w:jc w:val="left"/>
              <w:rPr/>
            </w:pPr>
            <w:r>
              <w:rPr/>
              <w:t> </w:t>
            </w:r>
          </w:p>
        </w:tc>
        <w:tc>
          <w:tcPr>
            <w:tcW w:w="179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Investment Type (c)</w:t>
            </w:r>
          </w:p>
        </w:tc>
        <w:tc>
          <w:tcPr>
            <w:tcW w:w="60" w:type="dxa"/>
            <w:tcBorders/>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Industry</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 Class</w:t>
              <w:br/>
              <w:t>Held (aw)</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Variable</w:t>
              <w:br/>
              <w:t>Index Spread</w:t>
              <w:br/>
              <w:t>/ Floor (d)</w:t>
            </w:r>
          </w:p>
        </w:tc>
        <w:tc>
          <w:tcPr>
            <w:tcW w:w="60" w:type="dxa"/>
            <w:tcBorders/>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Rate (e)</w:t>
              <w:br/>
              <w:t>Cash/PIK</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Investment</w:t>
              <w:br/>
              <w:t>Date (f)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Maturity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Principal</w:t>
              <w:b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Value (g)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 of</w:t>
              <w:br/>
              <w:t>Net Assets</w:t>
            </w:r>
          </w:p>
        </w:tc>
        <w:tc>
          <w:tcPr>
            <w:tcW w:w="290" w:type="dxa"/>
            <w:tcBorders/>
            <w:vAlign w:val="center"/>
          </w:tcPr>
          <w:p>
            <w:pPr>
              <w:pStyle w:val="TableContents"/>
              <w:bidi w:val="0"/>
              <w:spacing w:before="0" w:after="283"/>
              <w:jc w:val="left"/>
              <w:rPr/>
            </w:pPr>
            <w:r>
              <w:rPr/>
              <w:t> </w:t>
            </w:r>
          </w:p>
        </w:tc>
      </w:tr>
      <w:tr>
        <w:trPr/>
        <w:tc>
          <w:tcPr>
            <w:tcW w:w="980"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W50 Holdings, LLC</w:t>
            </w:r>
          </w:p>
        </w:tc>
        <w:tc>
          <w:tcPr>
            <w:tcW w:w="60"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Business Services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sz w:val="4"/>
                <w:szCs w:val="4"/>
              </w:rPr>
            </w:pPr>
            <w:r>
              <w:rPr>
                <w:sz w:val="4"/>
                <w:szCs w:val="4"/>
              </w:rPr>
            </w:r>
          </w:p>
        </w:tc>
        <w:tc>
          <w:tcPr>
            <w:tcW w:w="925"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3525 Piedmont Rd. NE</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Subordinated Debt (j)</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8.00%/4.50%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3/22/2024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3/24/2031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12,516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12,360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12,360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8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Atlanta, GA 30305</w:t>
            </w:r>
          </w:p>
        </w:tc>
        <w:tc>
          <w:tcPr>
            <w:tcW w:w="60"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pPr>
            <w:r>
              <w:rPr/>
              <w:t>Preferred Equity (Units N/A) ($100 unfunded commitment) (j)</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3/21/2024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sz w:val="4"/>
                <w:szCs w:val="4"/>
              </w:rPr>
            </w:pPr>
            <w:r>
              <w:rPr>
                <w:sz w:val="4"/>
                <w:szCs w:val="4"/>
              </w:rPr>
            </w:r>
          </w:p>
        </w:tc>
        <w:tc>
          <w:tcPr>
            <w:tcW w:w="925"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13,260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13,260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925" w:type="dxa"/>
            <w:tcBorders/>
            <w:vAlign w:val="center"/>
          </w:tcPr>
          <w:p>
            <w:pPr>
              <w:pStyle w:val="TableContents"/>
              <w:bidi w:val="0"/>
              <w:spacing w:before="0" w:after="283"/>
              <w:jc w:val="right"/>
              <w:rPr/>
            </w:pPr>
            <w:r>
              <w:rPr/>
              <w:t>2</w:t>
            </w:r>
          </w:p>
        </w:tc>
        <w:tc>
          <w:tcPr>
            <w:tcW w:w="290"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sz w:val="4"/>
                <w:szCs w:val="4"/>
              </w:rPr>
            </w:pPr>
            <w:r>
              <w:rPr>
                <w:sz w:val="4"/>
                <w:szCs w:val="4"/>
              </w:rPr>
            </w:r>
          </w:p>
        </w:tc>
        <w:tc>
          <w:tcPr>
            <w:tcW w:w="185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980"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White Label Communication, LLC</w:t>
            </w:r>
          </w:p>
        </w:tc>
        <w:tc>
          <w:tcPr>
            <w:tcW w:w="60"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Information Technology Services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sz w:val="4"/>
                <w:szCs w:val="4"/>
              </w:rPr>
            </w:pPr>
            <w:r>
              <w:rPr>
                <w:sz w:val="4"/>
                <w:szCs w:val="4"/>
              </w:rPr>
            </w:r>
          </w:p>
        </w:tc>
        <w:tc>
          <w:tcPr>
            <w:tcW w:w="925"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710 Springdale Drive</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First Lien Debt (j)</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(S + 6.25%) / (1.00%)</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11.58%/0.00%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10/11/2023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10/11/2029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17,456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17,366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17,366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8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Exton, PA 19341</w:t>
            </w:r>
          </w:p>
        </w:tc>
        <w:tc>
          <w:tcPr>
            <w:tcW w:w="60"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pPr>
            <w:r>
              <w:rPr/>
              <w:t>Common Equity (536 units) (h)(j)</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0.48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10/11/2023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sz w:val="4"/>
                <w:szCs w:val="4"/>
              </w:rPr>
            </w:pPr>
            <w:r>
              <w:rPr>
                <w:sz w:val="4"/>
                <w:szCs w:val="4"/>
              </w:rPr>
            </w:r>
          </w:p>
        </w:tc>
        <w:tc>
          <w:tcPr>
            <w:tcW w:w="925"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Preferred Equity (5,000 units) (h)(j)</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10/11/2023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17,866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17,866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3</w:t>
            </w:r>
          </w:p>
        </w:tc>
        <w:tc>
          <w:tcPr>
            <w:tcW w:w="290" w:type="dxa"/>
            <w:tcBorders/>
            <w:shd w:fill="CCEEFF" w:val="clear"/>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sz w:val="4"/>
                <w:szCs w:val="4"/>
              </w:rPr>
            </w:pPr>
            <w:r>
              <w:rPr>
                <w:sz w:val="4"/>
                <w:szCs w:val="4"/>
              </w:rPr>
            </w:r>
          </w:p>
        </w:tc>
        <w:tc>
          <w:tcPr>
            <w:tcW w:w="185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Winona Foods, Inc.</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Specialty Distribution</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8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1552 Lineville Road</w:t>
            </w:r>
          </w:p>
        </w:tc>
        <w:tc>
          <w:tcPr>
            <w:tcW w:w="60"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pPr>
            <w:r>
              <w:rPr/>
              <w:t>First Lien Debt (j)</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(S + 6.00%) / (6.00%)</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12.00%/5.00%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12/13/2023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6/13/2027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2,031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0</w:t>
            </w:r>
          </w:p>
        </w:tc>
        <w:tc>
          <w:tcPr>
            <w:tcW w:w="290" w:type="dxa"/>
            <w:tcBorders/>
            <w:shd w:fill="CCEEFF" w:val="clear"/>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Green Bay, WI 54313</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sz w:val="4"/>
                <w:szCs w:val="4"/>
              </w:rPr>
            </w:pPr>
            <w:r>
              <w:rPr>
                <w:sz w:val="4"/>
                <w:szCs w:val="4"/>
              </w:rPr>
            </w:r>
          </w:p>
        </w:tc>
        <w:tc>
          <w:tcPr>
            <w:tcW w:w="185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980"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Wonderware Holdings, LLC (dba CORE Business Technologies)</w:t>
            </w:r>
          </w:p>
        </w:tc>
        <w:tc>
          <w:tcPr>
            <w:tcW w:w="60"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Information Technology Services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sz w:val="4"/>
                <w:szCs w:val="4"/>
              </w:rPr>
            </w:pPr>
            <w:r>
              <w:rPr>
                <w:sz w:val="4"/>
                <w:szCs w:val="4"/>
              </w:rPr>
            </w:r>
          </w:p>
        </w:tc>
        <w:tc>
          <w:tcPr>
            <w:tcW w:w="925"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2224 Pawtucket Ave.</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First Lien Debt (k)(z)</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(S + 7.00%) / (1.00%)</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12.60%/0.00%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2/10/2021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9/30/2024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8,316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8,296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8,316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925" w:type="dxa"/>
            <w:tcBorders/>
            <w:vAlign w:val="center"/>
          </w:tcPr>
          <w:p>
            <w:pPr>
              <w:pStyle w:val="TableContents"/>
              <w:bidi w:val="0"/>
              <w:spacing w:before="0" w:after="283"/>
              <w:jc w:val="right"/>
              <w:rPr/>
            </w:pPr>
            <w:r>
              <w:rPr/>
              <w:t>1</w:t>
            </w:r>
          </w:p>
        </w:tc>
        <w:tc>
          <w:tcPr>
            <w:tcW w:w="290" w:type="dxa"/>
            <w:tcBorders/>
            <w:vAlign w:val="center"/>
          </w:tcPr>
          <w:p>
            <w:pPr>
              <w:pStyle w:val="TableContents"/>
              <w:bidi w:val="0"/>
              <w:spacing w:before="0" w:after="283"/>
              <w:jc w:val="left"/>
              <w:rPr/>
            </w:pPr>
            <w:r>
              <w:rPr/>
              <w:t>% </w:t>
            </w:r>
          </w:p>
        </w:tc>
      </w:tr>
      <w:tr>
        <w:trPr/>
        <w:tc>
          <w:tcPr>
            <w:tcW w:w="98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East Providence, RI 02914</w:t>
            </w:r>
          </w:p>
        </w:tc>
        <w:tc>
          <w:tcPr>
            <w:tcW w:w="60"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sz w:val="4"/>
                <w:szCs w:val="4"/>
              </w:rPr>
            </w:pPr>
            <w:r>
              <w:rPr>
                <w:sz w:val="4"/>
                <w:szCs w:val="4"/>
              </w:rPr>
            </w:r>
          </w:p>
        </w:tc>
        <w:tc>
          <w:tcPr>
            <w:tcW w:w="925"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sz w:val="4"/>
                <w:szCs w:val="4"/>
              </w:rPr>
            </w:pPr>
            <w:r>
              <w:rPr>
                <w:sz w:val="4"/>
                <w:szCs w:val="4"/>
              </w:rPr>
            </w:r>
          </w:p>
        </w:tc>
        <w:tc>
          <w:tcPr>
            <w:tcW w:w="185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0"/>
              <w:jc w:val="left"/>
              <w:rPr>
                <w:rFonts w:ascii="Times New Roman" w:hAnsi="Times New Roman"/>
                <w:i/>
                <w:sz w:val="14"/>
              </w:rPr>
            </w:pPr>
            <w:r>
              <w:rPr>
                <w:rFonts w:ascii="Times New Roman" w:hAnsi="Times New Roman"/>
                <w:i/>
                <w:sz w:val="14"/>
              </w:rPr>
              <w:t>Worldwide Express Operations, LLC</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Transportation services</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8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2700 Commerce Street Suite 1500</w:t>
            </w:r>
          </w:p>
        </w:tc>
        <w:tc>
          <w:tcPr>
            <w:tcW w:w="60"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pPr>
            <w:r>
              <w:rPr/>
              <w:t>Second Lien Debt (j)</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(S + 7.00%) / (0.75%)</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12.57%/0.00%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8/2/2021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7/26/2029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27,497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26,603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27,153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sz w:val="4"/>
                <w:szCs w:val="4"/>
              </w:rPr>
            </w:pPr>
            <w:r>
              <w:rPr>
                <w:sz w:val="4"/>
                <w:szCs w:val="4"/>
              </w:rPr>
            </w:r>
          </w:p>
        </w:tc>
        <w:tc>
          <w:tcPr>
            <w:tcW w:w="925"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Dallas, TX 75226</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Common Equity (795,000 units) (j)</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0.02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7/21/2021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794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776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pPr>
            <w:r>
              <w:rPr/>
              <w:t>Common Equity (752,380 units) (h)(j)</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0.02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7/26/2021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sz w:val="4"/>
                <w:szCs w:val="4"/>
              </w:rPr>
            </w:pPr>
            <w:r>
              <w:rPr>
                <w:sz w:val="4"/>
                <w:szCs w:val="4"/>
              </w:rPr>
            </w:r>
          </w:p>
        </w:tc>
        <w:tc>
          <w:tcPr>
            <w:tcW w:w="925"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27,622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28,536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925" w:type="dxa"/>
            <w:tcBorders/>
            <w:vAlign w:val="center"/>
          </w:tcPr>
          <w:p>
            <w:pPr>
              <w:pStyle w:val="TableContents"/>
              <w:bidi w:val="0"/>
              <w:spacing w:before="0" w:after="283"/>
              <w:jc w:val="right"/>
              <w:rPr/>
            </w:pPr>
            <w:r>
              <w:rPr/>
              <w:t>5</w:t>
            </w:r>
          </w:p>
        </w:tc>
        <w:tc>
          <w:tcPr>
            <w:tcW w:w="290"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sz w:val="4"/>
                <w:szCs w:val="4"/>
              </w:rPr>
            </w:pPr>
            <w:r>
              <w:rPr>
                <w:sz w:val="4"/>
                <w:szCs w:val="4"/>
              </w:rPr>
            </w:r>
          </w:p>
        </w:tc>
        <w:tc>
          <w:tcPr>
            <w:tcW w:w="185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r>
      <w:tr>
        <w:trPr/>
        <w:tc>
          <w:tcPr>
            <w:tcW w:w="980" w:type="dxa"/>
            <w:tcBorders/>
            <w:shd w:fill="CCEEFF" w:val="clear"/>
            <w:vAlign w:val="center"/>
          </w:tcPr>
          <w:p>
            <w:pPr>
              <w:pStyle w:val="TableContents"/>
              <w:bidi w:val="0"/>
              <w:spacing w:before="0" w:after="0"/>
              <w:jc w:val="left"/>
              <w:rPr>
                <w:rFonts w:ascii="Times New Roman" w:hAnsi="Times New Roman"/>
                <w:i/>
                <w:sz w:val="14"/>
              </w:rPr>
            </w:pPr>
            <w:r>
              <w:rPr>
                <w:rFonts w:ascii="Times New Roman" w:hAnsi="Times New Roman"/>
                <w:i/>
                <w:sz w:val="14"/>
              </w:rPr>
              <w:t>Zonkd, LLC</w:t>
            </w:r>
          </w:p>
        </w:tc>
        <w:tc>
          <w:tcPr>
            <w:tcW w:w="60"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Component Manufacturing</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sz w:val="4"/>
                <w:szCs w:val="4"/>
              </w:rPr>
            </w:pPr>
            <w:r>
              <w:rPr>
                <w:sz w:val="4"/>
                <w:szCs w:val="4"/>
              </w:rPr>
            </w:r>
          </w:p>
        </w:tc>
        <w:tc>
          <w:tcPr>
            <w:tcW w:w="925"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1317 Transport Drive</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First Lien Debt (j)</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(S + 10.00%) / (1.00%)</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16.59%/0.00%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3/18/2022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3/18/2027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4,150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4,014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4,150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8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Raleigh, NC 27603</w:t>
            </w:r>
          </w:p>
        </w:tc>
        <w:tc>
          <w:tcPr>
            <w:tcW w:w="60"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pPr>
            <w:r>
              <w:rPr/>
              <w:t>Common Equity (4,987 units) (h)(j)</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3.03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3/18/2022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sz w:val="4"/>
                <w:szCs w:val="4"/>
              </w:rPr>
            </w:pPr>
            <w:r>
              <w:rPr>
                <w:sz w:val="4"/>
                <w:szCs w:val="4"/>
              </w:rPr>
            </w:r>
          </w:p>
        </w:tc>
        <w:tc>
          <w:tcPr>
            <w:tcW w:w="925"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4,168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4,637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925" w:type="dxa"/>
            <w:tcBorders/>
            <w:vAlign w:val="center"/>
          </w:tcPr>
          <w:p>
            <w:pPr>
              <w:pStyle w:val="TableContents"/>
              <w:bidi w:val="0"/>
              <w:spacing w:before="0" w:after="283"/>
              <w:jc w:val="right"/>
              <w:rPr/>
            </w:pPr>
            <w:r>
              <w:rPr/>
              <w:t>1</w:t>
            </w:r>
          </w:p>
        </w:tc>
        <w:tc>
          <w:tcPr>
            <w:tcW w:w="290"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80" w:type="dxa"/>
            <w:tcBorders/>
            <w:shd w:fill="CCEEFF" w:val="clear"/>
            <w:vAlign w:val="center"/>
          </w:tcPr>
          <w:p>
            <w:pPr>
              <w:pStyle w:val="TableContents"/>
              <w:bidi w:val="0"/>
              <w:spacing w:before="0" w:after="0"/>
              <w:jc w:val="left"/>
              <w:rPr>
                <w:rFonts w:ascii="Times New Roman" w:hAnsi="Times New Roman"/>
                <w:b/>
                <w:sz w:val="14"/>
              </w:rPr>
            </w:pPr>
            <w:r>
              <w:rPr>
                <w:rFonts w:ascii="Times New Roman" w:hAnsi="Times New Roman"/>
                <w:b/>
                <w:sz w:val="14"/>
              </w:rPr>
              <w:t>Total Non-control/Non-affiliate Investments</w:t>
            </w:r>
          </w:p>
        </w:tc>
        <w:tc>
          <w:tcPr>
            <w:tcW w:w="60"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972,583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967,755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159</w:t>
            </w:r>
          </w:p>
        </w:tc>
        <w:tc>
          <w:tcPr>
            <w:tcW w:w="290" w:type="dxa"/>
            <w:tcBorders/>
            <w:shd w:fill="CCEEFF" w:val="clear"/>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0"/>
              <w:jc w:val="left"/>
              <w:rPr>
                <w:rFonts w:ascii="Times New Roman" w:hAnsi="Times New Roman"/>
                <w:b/>
                <w:sz w:val="14"/>
              </w:rPr>
            </w:pPr>
            <w:r>
              <w:rPr>
                <w:rFonts w:ascii="Times New Roman" w:hAnsi="Times New Roman"/>
                <w:b/>
                <w:sz w:val="14"/>
              </w:rPr>
              <w:t>Total Investments</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1,025,576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1,048,071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925" w:type="dxa"/>
            <w:tcBorders/>
            <w:vAlign w:val="center"/>
          </w:tcPr>
          <w:p>
            <w:pPr>
              <w:pStyle w:val="TableContents"/>
              <w:bidi w:val="0"/>
              <w:spacing w:before="0" w:after="283"/>
              <w:jc w:val="right"/>
              <w:rPr/>
            </w:pPr>
            <w:r>
              <w:rPr/>
              <w:t>172</w:t>
            </w:r>
          </w:p>
        </w:tc>
        <w:tc>
          <w:tcPr>
            <w:tcW w:w="290"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bidi w:val="0"/>
        <w:jc w:val="left"/>
        <w:rPr/>
      </w:pPr>
      <w:r>
        <w:rPr/>
      </w:r>
    </w:p>
    <w:tbl>
      <w:tblPr>
        <w:tblW w:w="11910" w:type="dxa"/>
        <w:jc w:val="left"/>
        <w:tblInd w:w="0" w:type="dxa"/>
        <w:tblLayout w:type="fixed"/>
        <w:tblCellMar>
          <w:top w:w="0" w:type="dxa"/>
          <w:left w:w="0" w:type="dxa"/>
          <w:bottom w:w="0" w:type="dxa"/>
          <w:right w:w="0" w:type="dxa"/>
        </w:tblCellMar>
      </w:tblPr>
      <w:tblGrid>
        <w:gridCol w:w="845"/>
        <w:gridCol w:w="60"/>
        <w:gridCol w:w="680"/>
        <w:gridCol w:w="60"/>
        <w:gridCol w:w="545"/>
        <w:gridCol w:w="60"/>
        <w:gridCol w:w="572"/>
        <w:gridCol w:w="573"/>
        <w:gridCol w:w="60"/>
        <w:gridCol w:w="60"/>
        <w:gridCol w:w="575"/>
        <w:gridCol w:w="60"/>
        <w:gridCol w:w="470"/>
        <w:gridCol w:w="60"/>
        <w:gridCol w:w="572"/>
        <w:gridCol w:w="573"/>
        <w:gridCol w:w="60"/>
        <w:gridCol w:w="60"/>
        <w:gridCol w:w="467"/>
        <w:gridCol w:w="468"/>
        <w:gridCol w:w="60"/>
        <w:gridCol w:w="60"/>
        <w:gridCol w:w="475"/>
        <w:gridCol w:w="475"/>
        <w:gridCol w:w="60"/>
        <w:gridCol w:w="60"/>
        <w:gridCol w:w="140"/>
        <w:gridCol w:w="980"/>
        <w:gridCol w:w="60"/>
        <w:gridCol w:w="60"/>
        <w:gridCol w:w="140"/>
        <w:gridCol w:w="980"/>
        <w:gridCol w:w="60"/>
        <w:gridCol w:w="60"/>
        <w:gridCol w:w="145"/>
        <w:gridCol w:w="925"/>
        <w:gridCol w:w="290"/>
      </w:tblGrid>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0"/>
              <w:jc w:val="left"/>
              <w:rPr>
                <w:rFonts w:ascii="Times New Roman" w:hAnsi="Times New Roman"/>
                <w:b/>
                <w:sz w:val="13"/>
              </w:rPr>
            </w:pPr>
            <w:r>
              <w:rPr>
                <w:rFonts w:ascii="Times New Roman" w:hAnsi="Times New Roman"/>
                <w:b/>
                <w:sz w:val="13"/>
              </w:rPr>
              <w:t>Portfolio Company (a)(b)</w:t>
            </w:r>
          </w:p>
          <w:p>
            <w:pPr>
              <w:pStyle w:val="TableContents"/>
              <w:bidi w:val="0"/>
              <w:spacing w:before="0" w:after="0"/>
              <w:jc w:val="left"/>
              <w:rPr/>
            </w:pPr>
            <w:r>
              <w:rPr/>
              <w:t> </w:t>
            </w:r>
          </w:p>
          <w:p>
            <w:pPr>
              <w:pStyle w:val="TableContents"/>
              <w:pBdr>
                <w:bottom w:val="single" w:sz="8" w:space="1" w:color="000000"/>
              </w:pBdr>
              <w:bidi w:val="0"/>
              <w:spacing w:before="0" w:after="20"/>
              <w:jc w:val="left"/>
              <w:rPr>
                <w:rFonts w:ascii="Times New Roman" w:hAnsi="Times New Roman"/>
                <w:b/>
                <w:sz w:val="13"/>
              </w:rPr>
            </w:pPr>
            <w:r>
              <w:rPr>
                <w:rFonts w:ascii="Times New Roman" w:hAnsi="Times New Roman"/>
                <w:b/>
                <w:sz w:val="13"/>
              </w:rPr>
              <w:t>Address of Portfolio Company</w:t>
            </w:r>
          </w:p>
        </w:tc>
        <w:tc>
          <w:tcPr>
            <w:tcW w:w="60" w:type="dxa"/>
            <w:tcBorders/>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Investment Type (c)</w:t>
            </w:r>
          </w:p>
        </w:tc>
        <w:tc>
          <w:tcPr>
            <w:tcW w:w="60" w:type="dxa"/>
            <w:tcBorders/>
            <w:vAlign w:val="center"/>
          </w:tcPr>
          <w:p>
            <w:pPr>
              <w:pStyle w:val="TableContents"/>
              <w:bidi w:val="0"/>
              <w:spacing w:before="0" w:after="283"/>
              <w:jc w:val="left"/>
              <w:rPr/>
            </w:pPr>
            <w:r>
              <w:rPr/>
              <w:t> </w:t>
            </w:r>
          </w:p>
        </w:tc>
        <w:tc>
          <w:tcPr>
            <w:tcW w:w="5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Industry</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 Class</w:t>
              <w:br/>
              <w:t>Held (aw)</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Variable</w:t>
              <w:br/>
              <w:t>Index Spread</w:t>
              <w:br/>
              <w:t>/ Floor (d)</w:t>
            </w:r>
          </w:p>
        </w:tc>
        <w:tc>
          <w:tcPr>
            <w:tcW w:w="60" w:type="dxa"/>
            <w:tcBorders/>
            <w:vAlign w:val="center"/>
          </w:tcPr>
          <w:p>
            <w:pPr>
              <w:pStyle w:val="TableContents"/>
              <w:bidi w:val="0"/>
              <w:spacing w:before="0" w:after="283"/>
              <w:jc w:val="left"/>
              <w:rPr/>
            </w:pPr>
            <w:r>
              <w:rPr/>
              <w:t> </w:t>
            </w:r>
          </w:p>
        </w:tc>
        <w:tc>
          <w:tcPr>
            <w:tcW w:w="47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3"/>
              </w:rPr>
            </w:pPr>
            <w:r>
              <w:rPr>
                <w:rFonts w:ascii="Times New Roman" w:hAnsi="Times New Roman"/>
                <w:b/>
                <w:sz w:val="13"/>
              </w:rPr>
              <w:t>Rate (e)</w:t>
              <w:br/>
              <w:t>Cash/PIK</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Investment</w:t>
              <w:br/>
              <w:t>Date (f)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Maturity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Principal</w:t>
              <w:b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Value (g)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 of</w:t>
              <w:br/>
              <w:t>Net Assets</w:t>
            </w:r>
          </w:p>
        </w:tc>
        <w:tc>
          <w:tcPr>
            <w:tcW w:w="290" w:type="dxa"/>
            <w:tcBorders/>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0"/>
              <w:jc w:val="left"/>
              <w:rPr>
                <w:rFonts w:ascii="Times New Roman" w:hAnsi="Times New Roman"/>
                <w:b/>
                <w:sz w:val="14"/>
              </w:rPr>
            </w:pPr>
            <w:r>
              <w:rPr>
                <w:rFonts w:ascii="Times New Roman" w:hAnsi="Times New Roman"/>
                <w:b/>
                <w:sz w:val="14"/>
              </w:rPr>
              <w:t>Money market funds (included in cash and cash equivalents)</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sz w:val="4"/>
                <w:szCs w:val="4"/>
              </w:rPr>
            </w:pPr>
            <w:r>
              <w:rPr>
                <w:sz w:val="4"/>
                <w:szCs w:val="4"/>
              </w:rPr>
            </w:r>
          </w:p>
        </w:tc>
        <w:tc>
          <w:tcPr>
            <w:tcW w:w="46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475" w:type="dxa"/>
            <w:tcBorders/>
            <w:shd w:fill="CCEEFF" w:val="clear"/>
            <w:vAlign w:val="center"/>
          </w:tcPr>
          <w:p>
            <w:pPr>
              <w:pStyle w:val="TableContents"/>
              <w:bidi w:val="0"/>
              <w:spacing w:before="0" w:after="283"/>
              <w:jc w:val="left"/>
              <w:rPr>
                <w:sz w:val="4"/>
                <w:szCs w:val="4"/>
              </w:rPr>
            </w:pPr>
            <w:r>
              <w:rPr>
                <w:sz w:val="4"/>
                <w:szCs w:val="4"/>
              </w:rPr>
            </w:r>
          </w:p>
        </w:tc>
        <w:tc>
          <w:tcPr>
            <w:tcW w:w="4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sz w:val="4"/>
                <w:szCs w:val="4"/>
              </w:rPr>
            </w:pPr>
            <w:r>
              <w:rPr>
                <w:sz w:val="4"/>
                <w:szCs w:val="4"/>
              </w:rPr>
            </w:r>
          </w:p>
        </w:tc>
        <w:tc>
          <w:tcPr>
            <w:tcW w:w="925"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Goldman Sachs Financial Square Treasury Obligation Institution CUSIP (38141W323) (ad)</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23,142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23,142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925" w:type="dxa"/>
            <w:tcBorders/>
            <w:vAlign w:val="center"/>
          </w:tcPr>
          <w:p>
            <w:pPr>
              <w:pStyle w:val="TableContents"/>
              <w:bidi w:val="0"/>
              <w:spacing w:before="0" w:after="283"/>
              <w:jc w:val="right"/>
              <w:rPr/>
            </w:pPr>
            <w:r>
              <w:rPr/>
              <w:t>4</w:t>
            </w:r>
          </w:p>
        </w:tc>
        <w:tc>
          <w:tcPr>
            <w:tcW w:w="290"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shd w:fill="CCEEFF" w:val="clear"/>
            <w:vAlign w:val="center"/>
          </w:tcPr>
          <w:p>
            <w:pPr>
              <w:pStyle w:val="TableContents"/>
              <w:bidi w:val="0"/>
              <w:spacing w:before="0" w:after="0"/>
              <w:jc w:val="left"/>
              <w:rPr>
                <w:rFonts w:ascii="Times New Roman" w:hAnsi="Times New Roman"/>
                <w:b/>
                <w:sz w:val="14"/>
              </w:rPr>
            </w:pPr>
            <w:r>
              <w:rPr>
                <w:rFonts w:ascii="Times New Roman" w:hAnsi="Times New Roman"/>
                <w:b/>
                <w:sz w:val="14"/>
              </w:rPr>
              <w:t>Total money market funds</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sz w:val="4"/>
                <w:szCs w:val="4"/>
              </w:rPr>
            </w:pPr>
            <w:r>
              <w:rPr>
                <w:sz w:val="4"/>
                <w:szCs w:val="4"/>
              </w:rPr>
            </w:r>
          </w:p>
        </w:tc>
        <w:tc>
          <w:tcPr>
            <w:tcW w:w="46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475" w:type="dxa"/>
            <w:tcBorders/>
            <w:shd w:fill="CCEEFF" w:val="clear"/>
            <w:vAlign w:val="center"/>
          </w:tcPr>
          <w:p>
            <w:pPr>
              <w:pStyle w:val="TableContents"/>
              <w:bidi w:val="0"/>
              <w:spacing w:before="0" w:after="283"/>
              <w:jc w:val="left"/>
              <w:rPr>
                <w:sz w:val="4"/>
                <w:szCs w:val="4"/>
              </w:rPr>
            </w:pPr>
            <w:r>
              <w:rPr>
                <w:sz w:val="4"/>
                <w:szCs w:val="4"/>
              </w:rPr>
            </w:r>
          </w:p>
        </w:tc>
        <w:tc>
          <w:tcPr>
            <w:tcW w:w="4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23,142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23,142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4</w:t>
            </w:r>
          </w:p>
        </w:tc>
        <w:tc>
          <w:tcPr>
            <w:tcW w:w="290" w:type="dxa"/>
            <w:tcBorders/>
            <w:shd w:fill="CCEEFF" w:val="clear"/>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0"/>
              <w:jc w:val="left"/>
              <w:rPr>
                <w:rFonts w:ascii="Times New Roman" w:hAnsi="Times New Roman"/>
                <w:b/>
                <w:sz w:val="14"/>
              </w:rPr>
            </w:pPr>
            <w:r>
              <w:rPr>
                <w:rFonts w:ascii="Times New Roman" w:hAnsi="Times New Roman"/>
                <w:b/>
                <w:sz w:val="14"/>
              </w:rPr>
              <w:t>Total Investments and Money Market Funds</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1,048,718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1,071,213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925" w:type="dxa"/>
            <w:tcBorders/>
            <w:vAlign w:val="center"/>
          </w:tcPr>
          <w:p>
            <w:pPr>
              <w:pStyle w:val="TableContents"/>
              <w:bidi w:val="0"/>
              <w:spacing w:before="0" w:after="283"/>
              <w:jc w:val="right"/>
              <w:rPr/>
            </w:pPr>
            <w:r>
              <w:rPr/>
              <w:t>176</w:t>
            </w:r>
          </w:p>
        </w:tc>
        <w:tc>
          <w:tcPr>
            <w:tcW w:w="290"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pPr>
            <w:r>
              <w:rPr/>
              <w:t>(a)</w:t>
            </w:r>
          </w:p>
        </w:tc>
        <w:tc>
          <w:tcPr>
            <w:tcW w:w="992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See Note 3 to the consolidated financial statements included in our most recent Quarterly Report on Form 10-Q for portfolio composition by geographic location. </w:t>
            </w:r>
          </w:p>
        </w:tc>
      </w:tr>
    </w:tbl>
    <w:tbl>
      <w:tblPr>
        <w:tblW w:w="7135" w:type="dxa"/>
        <w:jc w:val="left"/>
        <w:tblInd w:w="0" w:type="dxa"/>
        <w:tblLayout w:type="fixed"/>
        <w:tblCellMar>
          <w:top w:w="0" w:type="dxa"/>
          <w:left w:w="0" w:type="dxa"/>
          <w:bottom w:w="0" w:type="dxa"/>
          <w:right w:w="0" w:type="dxa"/>
        </w:tblCellMar>
      </w:tblPr>
      <w:tblGrid>
        <w:gridCol w:w="305"/>
        <w:gridCol w:w="6830"/>
      </w:tblGrid>
      <w:tr>
        <w:trPr/>
        <w:tc>
          <w:tcPr>
            <w:tcW w:w="305" w:type="dxa"/>
            <w:tcBorders/>
            <w:vAlign w:val="center"/>
          </w:tcPr>
          <w:p>
            <w:pPr>
              <w:pStyle w:val="TableContents"/>
              <w:bidi w:val="0"/>
              <w:spacing w:before="0" w:after="283"/>
              <w:jc w:val="left"/>
              <w:rPr/>
            </w:pPr>
            <w:r>
              <w:rPr/>
              <w:t>(b)</w:t>
            </w:r>
          </w:p>
        </w:tc>
        <w:tc>
          <w:tcPr>
            <w:tcW w:w="683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Equity ownership may be held in shares or units of companies related to the portfolio companies. </w:t>
            </w:r>
          </w:p>
        </w:tc>
      </w:tr>
    </w:tbl>
    <w:tbl>
      <w:tblPr>
        <w:tblW w:w="5290" w:type="dxa"/>
        <w:jc w:val="left"/>
        <w:tblInd w:w="0" w:type="dxa"/>
        <w:tblLayout w:type="fixed"/>
        <w:tblCellMar>
          <w:top w:w="0" w:type="dxa"/>
          <w:left w:w="0" w:type="dxa"/>
          <w:bottom w:w="0" w:type="dxa"/>
          <w:right w:w="0" w:type="dxa"/>
        </w:tblCellMar>
      </w:tblPr>
      <w:tblGrid>
        <w:gridCol w:w="290"/>
        <w:gridCol w:w="5000"/>
      </w:tblGrid>
      <w:tr>
        <w:trPr/>
        <w:tc>
          <w:tcPr>
            <w:tcW w:w="290" w:type="dxa"/>
            <w:tcBorders/>
            <w:vAlign w:val="center"/>
          </w:tcPr>
          <w:p>
            <w:pPr>
              <w:pStyle w:val="TableContents"/>
              <w:bidi w:val="0"/>
              <w:spacing w:before="0" w:after="283"/>
              <w:jc w:val="left"/>
              <w:rPr/>
            </w:pPr>
            <w:r>
              <w:rPr/>
              <w:t>(c)</w:t>
            </w:r>
          </w:p>
        </w:tc>
        <w:tc>
          <w:tcPr>
            <w:tcW w:w="500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All debt investments are income producing, unless otherwise indicated. </w:t>
            </w:r>
          </w:p>
        </w:tc>
      </w:tr>
    </w:tbl>
    <w:p>
      <w:pPr>
        <w:pStyle w:val="TextBody"/>
        <w:bidi w:val="0"/>
        <w:spacing w:before="0" w:after="0"/>
        <w:jc w:val="left"/>
        <w:rPr>
          <w:rFonts w:ascii="Times New Roman" w:hAnsi="Times New Roman"/>
          <w:sz w:val="16"/>
        </w:rPr>
      </w:pPr>
      <w:r>
        <w:rPr>
          <w:rFonts w:ascii="Times New Roman" w:hAnsi="Times New Roman"/>
          <w:sz w:val="16"/>
        </w:rPr>
        <w:t xml:space="preserve">Equity investments are non-income producing unless otherwise noted. </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(d)</w:t>
            </w:r>
          </w:p>
        </w:tc>
        <w:tc>
          <w:tcPr>
            <w:tcW w:w="994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Variable rate investments bear interest at a rate indexed to Prime (P) or SOFR (S), which are reset monthly, bimonthly, quarterly, or semi-annually. Certain variable rate investments also include a Prime or SOFR interest rate floor. For each investment, the Company has provided the spread over the reference rate and the Prime or SOFR floor, if any, as of March 31, 2024. </w:t>
            </w:r>
          </w:p>
        </w:tc>
      </w:tr>
    </w:tbl>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pPr>
            <w:r>
              <w:rPr/>
              <w:t>(e)</w:t>
            </w:r>
          </w:p>
        </w:tc>
        <w:tc>
          <w:tcPr>
            <w:tcW w:w="9936"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Rate includes the cash interest or dividend rate and paid-in-kind interest or dividend rate, if any, as of March 31, 2024. Generally, payment-in-kind interest can be paid-in-kind or all in cash. </w:t>
            </w:r>
          </w:p>
        </w:tc>
      </w:tr>
    </w:tbl>
    <w:tbl>
      <w:tblPr>
        <w:tblW w:w="5500" w:type="dxa"/>
        <w:jc w:val="left"/>
        <w:tblInd w:w="0" w:type="dxa"/>
        <w:tblLayout w:type="fixed"/>
        <w:tblCellMar>
          <w:top w:w="0" w:type="dxa"/>
          <w:left w:w="0" w:type="dxa"/>
          <w:bottom w:w="0" w:type="dxa"/>
          <w:right w:w="0" w:type="dxa"/>
        </w:tblCellMar>
      </w:tblPr>
      <w:tblGrid>
        <w:gridCol w:w="260"/>
        <w:gridCol w:w="5240"/>
      </w:tblGrid>
      <w:tr>
        <w:trPr/>
        <w:tc>
          <w:tcPr>
            <w:tcW w:w="260" w:type="dxa"/>
            <w:tcBorders/>
            <w:vAlign w:val="center"/>
          </w:tcPr>
          <w:p>
            <w:pPr>
              <w:pStyle w:val="TableContents"/>
              <w:bidi w:val="0"/>
              <w:spacing w:before="0" w:after="283"/>
              <w:jc w:val="left"/>
              <w:rPr/>
            </w:pPr>
            <w:r>
              <w:rPr/>
              <w:t>(f)</w:t>
            </w:r>
          </w:p>
        </w:tc>
        <w:tc>
          <w:tcPr>
            <w:tcW w:w="524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Investment date represents the date of the initial investment in the security. </w:t>
            </w:r>
          </w:p>
        </w:tc>
      </w:tr>
    </w:tbl>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(g)</w:t>
            </w:r>
          </w:p>
        </w:tc>
        <w:tc>
          <w:tcPr>
            <w:tcW w:w="9951"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Except as otherwise noted, the Company’s investment portfolio is comprised of debt and equity securities of privately held companies for which quoted prices falling within the categories of Level 1 and Level 2 inputs are not available. Therefore, the Company values all of its portfolio investments at fair value, as determined in good faith by the board of directors, using significant unobservable Level 3 inputs. </w:t>
            </w:r>
          </w:p>
        </w:tc>
      </w:tr>
    </w:tbl>
    <w:tbl>
      <w:tblPr>
        <w:tblW w:w="4495" w:type="dxa"/>
        <w:jc w:val="left"/>
        <w:tblInd w:w="0" w:type="dxa"/>
        <w:tblLayout w:type="fixed"/>
        <w:tblCellMar>
          <w:top w:w="0" w:type="dxa"/>
          <w:left w:w="0" w:type="dxa"/>
          <w:bottom w:w="0" w:type="dxa"/>
          <w:right w:w="0" w:type="dxa"/>
        </w:tblCellMar>
      </w:tblPr>
      <w:tblGrid>
        <w:gridCol w:w="305"/>
        <w:gridCol w:w="4190"/>
      </w:tblGrid>
      <w:tr>
        <w:trPr/>
        <w:tc>
          <w:tcPr>
            <w:tcW w:w="305" w:type="dxa"/>
            <w:tcBorders/>
            <w:vAlign w:val="center"/>
          </w:tcPr>
          <w:p>
            <w:pPr>
              <w:pStyle w:val="TableContents"/>
              <w:bidi w:val="0"/>
              <w:spacing w:before="0" w:after="283"/>
              <w:jc w:val="left"/>
              <w:rPr/>
            </w:pPr>
            <w:r>
              <w:rPr/>
              <w:t>(h)</w:t>
            </w:r>
          </w:p>
        </w:tc>
        <w:tc>
          <w:tcPr>
            <w:tcW w:w="419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Investment is held by a taxable subsidiary of the Company. </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pPr>
            <w:r>
              <w:rPr/>
              <w:t>(i)</w:t>
            </w:r>
          </w:p>
        </w:tc>
        <w:tc>
          <w:tcPr>
            <w:tcW w:w="9997"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disclosed commitment represents the unfunded amount as of March 31, 2024. The Company is earning 0.50% interest on the unfunded balance of the commitment. The interest rate disclosed represents the rate which will be earned if the commitment is funded. </w:t>
            </w:r>
          </w:p>
        </w:tc>
      </w:tr>
    </w:tbl>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283"/>
              <w:jc w:val="left"/>
              <w:rPr/>
            </w:pPr>
            <w:r>
              <w:rPr/>
              <w:t>(j)</w:t>
            </w:r>
          </w:p>
        </w:tc>
        <w:tc>
          <w:tcPr>
            <w:tcW w:w="10006"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Investment pledged as collateral for the Credit Facility and, as a result, is not directly available to the creditors of the Company to satisfy any obligations of the Company other than the Company’s obligations under the Credit Facility (see Note 6 to the consolidated financial statements included in our most recent Quarterly Report on Form 10-Q). </w:t>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(k)</w:t>
            </w:r>
          </w:p>
        </w:tc>
        <w:tc>
          <w:tcPr>
            <w:tcW w:w="9956"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portion of the investment not held by Fidus Mezzanine Capital II, LP or Fidus Mezzanine Capital III, LP, a wholly owned subsidiary operating as a small business investment company, is pledged as collateral for the Credit Facility and, as a result, is not directly available to the creditors of the Company to satisfy any obligations of the Company other than the Company’s obligations under the Credit Facility (see Note 6 to the consolidated financial statements in our most recent Quarterly Report on Form 10-Q).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283"/>
              <w:jc w:val="left"/>
              <w:rPr/>
            </w:pPr>
            <w:r>
              <w:rPr/>
              <w:t>(l)</w:t>
            </w:r>
          </w:p>
        </w:tc>
        <w:tc>
          <w:tcPr>
            <w:tcW w:w="10014"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As defined in the 1940 Act, the Company is deemed to be an “Affiliated Person” of this portfolio company because it owns 5% or more of the portfolio company’s outstanding voting securities or it has the power to exercise control over the management or policies of such portfolio company. Transactions in which the issuer was an Affiliated Person are detailed in Note 3 to the consolidated financial statements included in our most recent Quarterly Report on Form 10-Q. </w:t>
            </w:r>
          </w:p>
        </w:tc>
      </w:tr>
    </w:tbl>
    <w:tbl>
      <w:tblPr>
        <w:tblW w:w="10205" w:type="dxa"/>
        <w:jc w:val="left"/>
        <w:tblInd w:w="0" w:type="dxa"/>
        <w:tblLayout w:type="fixed"/>
        <w:tblCellMar>
          <w:top w:w="0" w:type="dxa"/>
          <w:left w:w="0" w:type="dxa"/>
          <w:bottom w:w="0" w:type="dxa"/>
          <w:right w:w="0" w:type="dxa"/>
        </w:tblCellMar>
      </w:tblPr>
      <w:tblGrid>
        <w:gridCol w:w="328"/>
        <w:gridCol w:w="9877"/>
      </w:tblGrid>
      <w:tr>
        <w:trPr/>
        <w:tc>
          <w:tcPr>
            <w:tcW w:w="328" w:type="dxa"/>
            <w:tcBorders/>
            <w:vAlign w:val="center"/>
          </w:tcPr>
          <w:p>
            <w:pPr>
              <w:pStyle w:val="TableContents"/>
              <w:bidi w:val="0"/>
              <w:spacing w:before="0" w:after="283"/>
              <w:jc w:val="left"/>
              <w:rPr/>
            </w:pPr>
            <w:r>
              <w:rPr/>
              <w:t>(m)</w:t>
            </w:r>
          </w:p>
        </w:tc>
        <w:tc>
          <w:tcPr>
            <w:tcW w:w="9877"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Warrants entitle the Company to purchase a predetermined number of shares or units of common equity, and are non-income producing. The purchase price and number of shares are subject to adjustment under certain conditions until the expiration date, if any. </w:t>
            </w:r>
          </w:p>
        </w:tc>
      </w:tr>
    </w:tbl>
    <w:tbl>
      <w:tblPr>
        <w:tblW w:w="7270" w:type="dxa"/>
        <w:jc w:val="left"/>
        <w:tblInd w:w="0" w:type="dxa"/>
        <w:tblLayout w:type="fixed"/>
        <w:tblCellMar>
          <w:top w:w="0" w:type="dxa"/>
          <w:left w:w="0" w:type="dxa"/>
          <w:bottom w:w="0" w:type="dxa"/>
          <w:right w:w="0" w:type="dxa"/>
        </w:tblCellMar>
      </w:tblPr>
      <w:tblGrid>
        <w:gridCol w:w="305"/>
        <w:gridCol w:w="6965"/>
      </w:tblGrid>
      <w:tr>
        <w:trPr/>
        <w:tc>
          <w:tcPr>
            <w:tcW w:w="305" w:type="dxa"/>
            <w:tcBorders/>
            <w:vAlign w:val="center"/>
          </w:tcPr>
          <w:p>
            <w:pPr>
              <w:pStyle w:val="TableContents"/>
              <w:bidi w:val="0"/>
              <w:spacing w:before="0" w:after="283"/>
              <w:jc w:val="left"/>
              <w:rPr/>
            </w:pPr>
            <w:r>
              <w:rPr/>
              <w:t>(n)</w:t>
            </w:r>
          </w:p>
        </w:tc>
        <w:tc>
          <w:tcPr>
            <w:tcW w:w="696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Investment in portfolio company that has sold its operations and is in the process of winding down. </w:t>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(o)</w:t>
            </w:r>
          </w:p>
        </w:tc>
        <w:tc>
          <w:tcPr>
            <w:tcW w:w="9956"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Company sold a participating interest of approximately $0.3 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 for the fiscal quarter ended March 31, 2024 included in our most recent Quarterly Report on Form 10-Q.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(p)</w:t>
            </w:r>
          </w:p>
        </w:tc>
        <w:tc>
          <w:tcPr>
            <w:tcW w:w="9953"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4.75%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(q)</w:t>
            </w:r>
          </w:p>
        </w:tc>
        <w:tc>
          <w:tcPr>
            <w:tcW w:w="9953"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2.91%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283"/>
              <w:jc w:val="left"/>
              <w:rPr/>
            </w:pPr>
            <w:r>
              <w:rPr/>
              <w:t>(r)</w:t>
            </w:r>
          </w:p>
        </w:tc>
        <w:tc>
          <w:tcPr>
            <w:tcW w:w="9998"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3.16%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left"/>
              <w:rPr/>
            </w:pPr>
            <w:r>
              <w:rPr/>
              <w:t>(s)</w:t>
            </w:r>
          </w:p>
        </w:tc>
        <w:tc>
          <w:tcPr>
            <w:tcW w:w="9983"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2.15%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283"/>
              <w:jc w:val="left"/>
              <w:rPr/>
            </w:pPr>
            <w:r>
              <w:rPr/>
              <w:t>(t)</w:t>
            </w:r>
          </w:p>
        </w:tc>
        <w:tc>
          <w:tcPr>
            <w:tcW w:w="10018"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As defined in the 1940 Act, the Company is deemed to be both an “Affiliated Person” of and “Control” this portfolio company because it owns 25% or more of the portfolio company’s outstanding voting securities or it has the power to exercise control over the management or policies of such portfolio company. Transactions in which the issuer was both an Affiliated Person and a portfolio company that the Company is deemed to Control are detailed in Note 3 to the consolidated financial statements included in our most recent Quarterly Report on Form 10-Q.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(u)</w:t>
            </w:r>
          </w:p>
        </w:tc>
        <w:tc>
          <w:tcPr>
            <w:tcW w:w="9953"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2.28%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pPr>
            <w:r>
              <w:rPr/>
              <w:t>(i)</w:t>
            </w:r>
          </w:p>
        </w:tc>
        <w:tc>
          <w:tcPr>
            <w:tcW w:w="9997"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disclosed commitment represents the unfunded amount as of March 31, 2024. The Company is earning 3.00% interest on the unfunded balance of the commitment. The interest rate disclosed represents the rate which will be earned if the commitment is funded. </w:t>
            </w:r>
          </w:p>
        </w:tc>
      </w:tr>
    </w:tbl>
    <w:tbl>
      <w:tblPr>
        <w:tblW w:w="10205" w:type="dxa"/>
        <w:jc w:val="left"/>
        <w:tblInd w:w="0" w:type="dxa"/>
        <w:tblLayout w:type="fixed"/>
        <w:tblCellMar>
          <w:top w:w="0" w:type="dxa"/>
          <w:left w:w="0" w:type="dxa"/>
          <w:bottom w:w="0" w:type="dxa"/>
          <w:right w:w="0" w:type="dxa"/>
        </w:tblCellMar>
      </w:tblPr>
      <w:tblGrid>
        <w:gridCol w:w="326"/>
        <w:gridCol w:w="9879"/>
      </w:tblGrid>
      <w:tr>
        <w:trPr/>
        <w:tc>
          <w:tcPr>
            <w:tcW w:w="326" w:type="dxa"/>
            <w:tcBorders/>
            <w:vAlign w:val="center"/>
          </w:tcPr>
          <w:p>
            <w:pPr>
              <w:pStyle w:val="TableContents"/>
              <w:bidi w:val="0"/>
              <w:spacing w:before="0" w:after="283"/>
              <w:jc w:val="left"/>
              <w:rPr/>
            </w:pPr>
            <w:r>
              <w:rPr/>
              <w:t>(w)</w:t>
            </w:r>
          </w:p>
        </w:tc>
        <w:tc>
          <w:tcPr>
            <w:tcW w:w="987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disclosed commitment represents the unfunded amount as of March 31, 2024. The Company is earning 1.00% interest on the unfunded balance of the commitment. The interest rate disclosed represents the rate earned on the outstanding, funded balance of the commitment.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(x)</w:t>
            </w:r>
          </w:p>
        </w:tc>
        <w:tc>
          <w:tcPr>
            <w:tcW w:w="9953"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2.27%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4555" w:type="dxa"/>
        <w:jc w:val="left"/>
        <w:tblInd w:w="0" w:type="dxa"/>
        <w:tblLayout w:type="fixed"/>
        <w:tblCellMar>
          <w:top w:w="0" w:type="dxa"/>
          <w:left w:w="0" w:type="dxa"/>
          <w:bottom w:w="0" w:type="dxa"/>
          <w:right w:w="0" w:type="dxa"/>
        </w:tblCellMar>
      </w:tblPr>
      <w:tblGrid>
        <w:gridCol w:w="305"/>
        <w:gridCol w:w="4250"/>
      </w:tblGrid>
      <w:tr>
        <w:trPr/>
        <w:tc>
          <w:tcPr>
            <w:tcW w:w="305" w:type="dxa"/>
            <w:tcBorders/>
            <w:vAlign w:val="center"/>
          </w:tcPr>
          <w:p>
            <w:pPr>
              <w:pStyle w:val="TableContents"/>
              <w:bidi w:val="0"/>
              <w:spacing w:before="0" w:after="283"/>
              <w:jc w:val="left"/>
              <w:rPr/>
            </w:pPr>
            <w:r>
              <w:rPr/>
              <w:t>(y)</w:t>
            </w:r>
          </w:p>
        </w:tc>
        <w:tc>
          <w:tcPr>
            <w:tcW w:w="425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Investment was on non-accrual status as of March 31, 2024. </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pPr>
            <w:r>
              <w:rPr/>
              <w:t>(z)</w:t>
            </w:r>
          </w:p>
        </w:tc>
        <w:tc>
          <w:tcPr>
            <w:tcW w:w="9968"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4.54%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10205" w:type="dxa"/>
        <w:jc w:val="left"/>
        <w:tblInd w:w="0" w:type="dxa"/>
        <w:tblLayout w:type="fixed"/>
        <w:tblCellMar>
          <w:top w:w="0" w:type="dxa"/>
          <w:left w:w="0" w:type="dxa"/>
          <w:bottom w:w="0" w:type="dxa"/>
          <w:right w:w="0" w:type="dxa"/>
        </w:tblCellMar>
      </w:tblPr>
      <w:tblGrid>
        <w:gridCol w:w="341"/>
        <w:gridCol w:w="9864"/>
      </w:tblGrid>
      <w:tr>
        <w:trPr/>
        <w:tc>
          <w:tcPr>
            <w:tcW w:w="341" w:type="dxa"/>
            <w:tcBorders/>
            <w:vAlign w:val="center"/>
          </w:tcPr>
          <w:p>
            <w:pPr>
              <w:pStyle w:val="TableContents"/>
              <w:bidi w:val="0"/>
              <w:spacing w:before="0" w:after="283"/>
              <w:jc w:val="left"/>
              <w:rPr/>
            </w:pPr>
            <w:r>
              <w:rPr/>
              <w:t>(aa)</w:t>
            </w:r>
          </w:p>
        </w:tc>
        <w:tc>
          <w:tcPr>
            <w:tcW w:w="9864"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Company sold a participating interest of approximately $4.0 million in aggregate principal amount of the portfolio company’s first lien senior secured term loan. As the transaction did not qualify as a “true sale” in accordance with GAAP, the Company recorded a corresponding secured borrowing in the Consolidated Statements of Assets and Liabilities for the fiscal quarter ended March 31, 2024 included in our most recent Quarterly Report on Form 10-Q. </w:t>
            </w:r>
          </w:p>
        </w:tc>
      </w:tr>
    </w:tbl>
    <w:tbl>
      <w:tblPr>
        <w:tblW w:w="10205" w:type="dxa"/>
        <w:jc w:val="left"/>
        <w:tblInd w:w="0" w:type="dxa"/>
        <w:tblLayout w:type="fixed"/>
        <w:tblCellMar>
          <w:top w:w="0" w:type="dxa"/>
          <w:left w:w="0" w:type="dxa"/>
          <w:bottom w:w="0" w:type="dxa"/>
          <w:right w:w="0" w:type="dxa"/>
        </w:tblCellMar>
      </w:tblPr>
      <w:tblGrid>
        <w:gridCol w:w="356"/>
        <w:gridCol w:w="9849"/>
      </w:tblGrid>
      <w:tr>
        <w:trPr/>
        <w:tc>
          <w:tcPr>
            <w:tcW w:w="356" w:type="dxa"/>
            <w:tcBorders/>
            <w:vAlign w:val="center"/>
          </w:tcPr>
          <w:p>
            <w:pPr>
              <w:pStyle w:val="TableContents"/>
              <w:bidi w:val="0"/>
              <w:spacing w:before="0" w:after="283"/>
              <w:jc w:val="left"/>
              <w:rPr/>
            </w:pPr>
            <w:r>
              <w:rPr/>
              <w:t>(ab)</w:t>
            </w:r>
          </w:p>
        </w:tc>
        <w:tc>
          <w:tcPr>
            <w:tcW w:w="984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7.72%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10205" w:type="dxa"/>
        <w:jc w:val="left"/>
        <w:tblInd w:w="0" w:type="dxa"/>
        <w:tblLayout w:type="fixed"/>
        <w:tblCellMar>
          <w:top w:w="0" w:type="dxa"/>
          <w:left w:w="0" w:type="dxa"/>
          <w:bottom w:w="0" w:type="dxa"/>
          <w:right w:w="0" w:type="dxa"/>
        </w:tblCellMar>
      </w:tblPr>
      <w:tblGrid>
        <w:gridCol w:w="340"/>
        <w:gridCol w:w="9865"/>
      </w:tblGrid>
      <w:tr>
        <w:trPr/>
        <w:tc>
          <w:tcPr>
            <w:tcW w:w="340" w:type="dxa"/>
            <w:tcBorders/>
            <w:vAlign w:val="center"/>
          </w:tcPr>
          <w:p>
            <w:pPr>
              <w:pStyle w:val="TableContents"/>
              <w:bidi w:val="0"/>
              <w:spacing w:before="0" w:after="283"/>
              <w:jc w:val="left"/>
              <w:rPr/>
            </w:pPr>
            <w:r>
              <w:rPr/>
              <w:t>(ac)</w:t>
            </w:r>
          </w:p>
        </w:tc>
        <w:tc>
          <w:tcPr>
            <w:tcW w:w="986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cash interest amount of 1.65% and PIK interest amount of 1.37%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10205" w:type="dxa"/>
        <w:jc w:val="left"/>
        <w:tblInd w:w="0" w:type="dxa"/>
        <w:tblLayout w:type="fixed"/>
        <w:tblCellMar>
          <w:top w:w="0" w:type="dxa"/>
          <w:left w:w="0" w:type="dxa"/>
          <w:bottom w:w="0" w:type="dxa"/>
          <w:right w:w="0" w:type="dxa"/>
        </w:tblCellMar>
      </w:tblPr>
      <w:tblGrid>
        <w:gridCol w:w="384"/>
        <w:gridCol w:w="9821"/>
      </w:tblGrid>
      <w:tr>
        <w:trPr/>
        <w:tc>
          <w:tcPr>
            <w:tcW w:w="384" w:type="dxa"/>
            <w:tcBorders/>
            <w:vAlign w:val="center"/>
          </w:tcPr>
          <w:p>
            <w:pPr>
              <w:pStyle w:val="TableContents"/>
              <w:bidi w:val="0"/>
              <w:spacing w:before="0" w:after="283"/>
              <w:jc w:val="left"/>
              <w:rPr/>
            </w:pPr>
            <w:r>
              <w:rPr/>
              <w:t>(ad)</w:t>
            </w:r>
          </w:p>
        </w:tc>
        <w:tc>
          <w:tcPr>
            <w:tcW w:w="9821"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This investment is classified as a Level 1 investment. For further detail on the fair value measurements, see Note 4 to the consolidated financial statements in our most recent Quarterly Report on Form 10-Q. </w:t>
            </w:r>
          </w:p>
        </w:tc>
      </w:tr>
    </w:tbl>
    <w:tbl>
      <w:tblPr>
        <w:tblW w:w="10205" w:type="dxa"/>
        <w:jc w:val="left"/>
        <w:tblInd w:w="0" w:type="dxa"/>
        <w:tblLayout w:type="fixed"/>
        <w:tblCellMar>
          <w:top w:w="0" w:type="dxa"/>
          <w:left w:w="0" w:type="dxa"/>
          <w:bottom w:w="0" w:type="dxa"/>
          <w:right w:w="0" w:type="dxa"/>
        </w:tblCellMar>
      </w:tblPr>
      <w:tblGrid>
        <w:gridCol w:w="341"/>
        <w:gridCol w:w="9864"/>
      </w:tblGrid>
      <w:tr>
        <w:trPr/>
        <w:tc>
          <w:tcPr>
            <w:tcW w:w="341" w:type="dxa"/>
            <w:tcBorders/>
            <w:vAlign w:val="center"/>
          </w:tcPr>
          <w:p>
            <w:pPr>
              <w:pStyle w:val="TableContents"/>
              <w:bidi w:val="0"/>
              <w:spacing w:before="0" w:after="283"/>
              <w:jc w:val="left"/>
              <w:rPr/>
            </w:pPr>
            <w:r>
              <w:rPr/>
              <w:t>(ae)</w:t>
            </w:r>
          </w:p>
        </w:tc>
        <w:tc>
          <w:tcPr>
            <w:tcW w:w="9864"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1.88%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10205" w:type="dxa"/>
        <w:jc w:val="left"/>
        <w:tblInd w:w="0" w:type="dxa"/>
        <w:tblLayout w:type="fixed"/>
        <w:tblCellMar>
          <w:top w:w="0" w:type="dxa"/>
          <w:left w:w="0" w:type="dxa"/>
          <w:bottom w:w="0" w:type="dxa"/>
          <w:right w:w="0" w:type="dxa"/>
        </w:tblCellMar>
      </w:tblPr>
      <w:tblGrid>
        <w:gridCol w:w="311"/>
        <w:gridCol w:w="9894"/>
      </w:tblGrid>
      <w:tr>
        <w:trPr/>
        <w:tc>
          <w:tcPr>
            <w:tcW w:w="311" w:type="dxa"/>
            <w:tcBorders/>
            <w:vAlign w:val="center"/>
          </w:tcPr>
          <w:p>
            <w:pPr>
              <w:pStyle w:val="TableContents"/>
              <w:bidi w:val="0"/>
              <w:spacing w:before="0" w:after="283"/>
              <w:jc w:val="left"/>
              <w:rPr/>
            </w:pPr>
            <w:r>
              <w:rPr/>
              <w:t>(af)</w:t>
            </w:r>
          </w:p>
        </w:tc>
        <w:tc>
          <w:tcPr>
            <w:tcW w:w="9894"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3.22%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10205" w:type="dxa"/>
        <w:jc w:val="left"/>
        <w:tblInd w:w="0" w:type="dxa"/>
        <w:tblLayout w:type="fixed"/>
        <w:tblCellMar>
          <w:top w:w="0" w:type="dxa"/>
          <w:left w:w="0" w:type="dxa"/>
          <w:bottom w:w="0" w:type="dxa"/>
          <w:right w:w="0" w:type="dxa"/>
        </w:tblCellMar>
      </w:tblPr>
      <w:tblGrid>
        <w:gridCol w:w="356"/>
        <w:gridCol w:w="9849"/>
      </w:tblGrid>
      <w:tr>
        <w:trPr/>
        <w:tc>
          <w:tcPr>
            <w:tcW w:w="356" w:type="dxa"/>
            <w:tcBorders/>
            <w:vAlign w:val="center"/>
          </w:tcPr>
          <w:p>
            <w:pPr>
              <w:pStyle w:val="TableContents"/>
              <w:bidi w:val="0"/>
              <w:spacing w:before="0" w:after="283"/>
              <w:jc w:val="left"/>
              <w:rPr/>
            </w:pPr>
            <w:r>
              <w:rPr/>
              <w:t>(ag)</w:t>
            </w:r>
          </w:p>
        </w:tc>
        <w:tc>
          <w:tcPr>
            <w:tcW w:w="984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4.36%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356"/>
        <w:gridCol w:w="9849"/>
      </w:tblGrid>
      <w:tr>
        <w:trPr/>
        <w:tc>
          <w:tcPr>
            <w:tcW w:w="356" w:type="dxa"/>
            <w:tcBorders/>
            <w:vAlign w:val="center"/>
          </w:tcPr>
          <w:p>
            <w:pPr>
              <w:pStyle w:val="TableContents"/>
              <w:bidi w:val="0"/>
              <w:spacing w:before="0" w:after="283"/>
              <w:jc w:val="left"/>
              <w:rPr/>
            </w:pPr>
            <w:r>
              <w:rPr/>
              <w:t>(ah)</w:t>
            </w:r>
          </w:p>
        </w:tc>
        <w:tc>
          <w:tcPr>
            <w:tcW w:w="984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1.63%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pPr>
            <w:r>
              <w:rPr/>
              <w:t>(ai)</w:t>
            </w:r>
          </w:p>
        </w:tc>
        <w:tc>
          <w:tcPr>
            <w:tcW w:w="990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3.32%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pPr>
            <w:r>
              <w:rPr/>
              <w:t>(aj)</w:t>
            </w:r>
          </w:p>
        </w:tc>
        <w:tc>
          <w:tcPr>
            <w:tcW w:w="990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4.11%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10205" w:type="dxa"/>
        <w:jc w:val="left"/>
        <w:tblInd w:w="0" w:type="dxa"/>
        <w:tblLayout w:type="fixed"/>
        <w:tblCellMar>
          <w:top w:w="0" w:type="dxa"/>
          <w:left w:w="0" w:type="dxa"/>
          <w:bottom w:w="0" w:type="dxa"/>
          <w:right w:w="0" w:type="dxa"/>
        </w:tblCellMar>
      </w:tblPr>
      <w:tblGrid>
        <w:gridCol w:w="356"/>
        <w:gridCol w:w="9849"/>
      </w:tblGrid>
      <w:tr>
        <w:trPr/>
        <w:tc>
          <w:tcPr>
            <w:tcW w:w="356" w:type="dxa"/>
            <w:tcBorders/>
            <w:vAlign w:val="center"/>
          </w:tcPr>
          <w:p>
            <w:pPr>
              <w:pStyle w:val="TableContents"/>
              <w:bidi w:val="0"/>
              <w:spacing w:before="0" w:after="283"/>
              <w:jc w:val="left"/>
              <w:rPr/>
            </w:pPr>
            <w:r>
              <w:rPr/>
              <w:t>(ak)</w:t>
            </w:r>
          </w:p>
        </w:tc>
        <w:tc>
          <w:tcPr>
            <w:tcW w:w="984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3.48%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pPr>
            <w:r>
              <w:rPr/>
              <w:t>(al)</w:t>
            </w:r>
          </w:p>
        </w:tc>
        <w:tc>
          <w:tcPr>
            <w:tcW w:w="990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4.99%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10205" w:type="dxa"/>
        <w:jc w:val="left"/>
        <w:tblInd w:w="0" w:type="dxa"/>
        <w:tblLayout w:type="fixed"/>
        <w:tblCellMar>
          <w:top w:w="0" w:type="dxa"/>
          <w:left w:w="0" w:type="dxa"/>
          <w:bottom w:w="0" w:type="dxa"/>
          <w:right w:w="0" w:type="dxa"/>
        </w:tblCellMar>
      </w:tblPr>
      <w:tblGrid>
        <w:gridCol w:w="416"/>
        <w:gridCol w:w="9789"/>
      </w:tblGrid>
      <w:tr>
        <w:trPr/>
        <w:tc>
          <w:tcPr>
            <w:tcW w:w="416" w:type="dxa"/>
            <w:tcBorders/>
            <w:vAlign w:val="center"/>
          </w:tcPr>
          <w:p>
            <w:pPr>
              <w:pStyle w:val="TableContents"/>
              <w:bidi w:val="0"/>
              <w:spacing w:before="0" w:after="283"/>
              <w:jc w:val="left"/>
              <w:rPr/>
            </w:pPr>
            <w:r>
              <w:rPr/>
              <w:t>(am)</w:t>
            </w:r>
          </w:p>
        </w:tc>
        <w:tc>
          <w:tcPr>
            <w:tcW w:w="978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3.18%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10205" w:type="dxa"/>
        <w:jc w:val="left"/>
        <w:tblInd w:w="0" w:type="dxa"/>
        <w:tblLayout w:type="fixed"/>
        <w:tblCellMar>
          <w:top w:w="0" w:type="dxa"/>
          <w:left w:w="0" w:type="dxa"/>
          <w:bottom w:w="0" w:type="dxa"/>
          <w:right w:w="0" w:type="dxa"/>
        </w:tblCellMar>
      </w:tblPr>
      <w:tblGrid>
        <w:gridCol w:w="356"/>
        <w:gridCol w:w="9849"/>
      </w:tblGrid>
      <w:tr>
        <w:trPr/>
        <w:tc>
          <w:tcPr>
            <w:tcW w:w="356" w:type="dxa"/>
            <w:tcBorders/>
            <w:vAlign w:val="center"/>
          </w:tcPr>
          <w:p>
            <w:pPr>
              <w:pStyle w:val="TableContents"/>
              <w:bidi w:val="0"/>
              <w:spacing w:before="0" w:after="283"/>
              <w:jc w:val="left"/>
              <w:rPr/>
            </w:pPr>
            <w:r>
              <w:rPr/>
              <w:t>(an)</w:t>
            </w:r>
          </w:p>
        </w:tc>
        <w:tc>
          <w:tcPr>
            <w:tcW w:w="984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Company sold a participating interest of approximately $13.5 million in aggregate principal amount of the portfolio company’s first lien senior secured term loan. As the transaction did not qualify as a “true sale” in accordance with GAAP, the Company recorded a corresponding secured borrowing in the Consolidated Statements of Assets and Liabilities for the fiscal quarter ended March 31, 2024 included in our most recent Quarterly Report on Form 10-Q. </w:t>
            </w:r>
          </w:p>
        </w:tc>
      </w:tr>
    </w:tbl>
    <w:tbl>
      <w:tblPr>
        <w:tblW w:w="10205" w:type="dxa"/>
        <w:jc w:val="left"/>
        <w:tblInd w:w="0" w:type="dxa"/>
        <w:tblLayout w:type="fixed"/>
        <w:tblCellMar>
          <w:top w:w="0" w:type="dxa"/>
          <w:left w:w="0" w:type="dxa"/>
          <w:bottom w:w="0" w:type="dxa"/>
          <w:right w:w="0" w:type="dxa"/>
        </w:tblCellMar>
      </w:tblPr>
      <w:tblGrid>
        <w:gridCol w:w="357"/>
        <w:gridCol w:w="9848"/>
      </w:tblGrid>
      <w:tr>
        <w:trPr/>
        <w:tc>
          <w:tcPr>
            <w:tcW w:w="357" w:type="dxa"/>
            <w:tcBorders/>
            <w:vAlign w:val="center"/>
          </w:tcPr>
          <w:p>
            <w:pPr>
              <w:pStyle w:val="TableContents"/>
              <w:bidi w:val="0"/>
              <w:spacing w:before="0" w:after="283"/>
              <w:jc w:val="left"/>
              <w:rPr/>
            </w:pPr>
            <w:r>
              <w:rPr/>
              <w:t>(ao)</w:t>
            </w:r>
          </w:p>
        </w:tc>
        <w:tc>
          <w:tcPr>
            <w:tcW w:w="9848"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investment is treated as a non-qualifying asset under Section 55(a) of the 1940 Act. Under the 1940 Act, the Company can not acquire any non-qualifying asset unless, at the time the acquisition is made, qualifying assets represent at least 70% of the Company’s total assets. As of March 31, 2024, total non-qualifying assets at fair value represented 1.17% of the Company’s total assets calculated in accordance with the 1940 Act. </w:t>
            </w:r>
          </w:p>
        </w:tc>
      </w:tr>
    </w:tbl>
    <w:tbl>
      <w:tblPr>
        <w:tblW w:w="10205" w:type="dxa"/>
        <w:jc w:val="left"/>
        <w:tblInd w:w="0" w:type="dxa"/>
        <w:tblLayout w:type="fixed"/>
        <w:tblCellMar>
          <w:top w:w="0" w:type="dxa"/>
          <w:left w:w="0" w:type="dxa"/>
          <w:bottom w:w="0" w:type="dxa"/>
          <w:right w:w="0" w:type="dxa"/>
        </w:tblCellMar>
      </w:tblPr>
      <w:tblGrid>
        <w:gridCol w:w="356"/>
        <w:gridCol w:w="9849"/>
      </w:tblGrid>
      <w:tr>
        <w:trPr/>
        <w:tc>
          <w:tcPr>
            <w:tcW w:w="356" w:type="dxa"/>
            <w:tcBorders/>
            <w:vAlign w:val="center"/>
          </w:tcPr>
          <w:p>
            <w:pPr>
              <w:pStyle w:val="TableContents"/>
              <w:bidi w:val="0"/>
              <w:spacing w:before="0" w:after="283"/>
              <w:jc w:val="left"/>
              <w:rPr/>
            </w:pPr>
            <w:r>
              <w:rPr/>
              <w:t>(ap)</w:t>
            </w:r>
          </w:p>
        </w:tc>
        <w:tc>
          <w:tcPr>
            <w:tcW w:w="984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cash interest amount of 2.00%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4990" w:type="dxa"/>
        <w:jc w:val="left"/>
        <w:tblInd w:w="0" w:type="dxa"/>
        <w:tblLayout w:type="fixed"/>
        <w:tblCellMar>
          <w:top w:w="0" w:type="dxa"/>
          <w:left w:w="0" w:type="dxa"/>
          <w:bottom w:w="0" w:type="dxa"/>
          <w:right w:w="0" w:type="dxa"/>
        </w:tblCellMar>
      </w:tblPr>
      <w:tblGrid>
        <w:gridCol w:w="410"/>
        <w:gridCol w:w="4580"/>
      </w:tblGrid>
      <w:tr>
        <w:trPr/>
        <w:tc>
          <w:tcPr>
            <w:tcW w:w="410" w:type="dxa"/>
            <w:tcBorders/>
            <w:vAlign w:val="center"/>
          </w:tcPr>
          <w:p>
            <w:pPr>
              <w:pStyle w:val="TableContents"/>
              <w:bidi w:val="0"/>
              <w:spacing w:before="0" w:after="283"/>
              <w:jc w:val="left"/>
              <w:rPr/>
            </w:pPr>
            <w:r>
              <w:rPr/>
              <w:t>(aq)</w:t>
            </w:r>
          </w:p>
        </w:tc>
        <w:tc>
          <w:tcPr>
            <w:tcW w:w="458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headquarters of this portfolio company is located in Canada. </w:t>
            </w:r>
          </w:p>
        </w:tc>
      </w:tr>
    </w:tbl>
    <w:tbl>
      <w:tblPr>
        <w:tblW w:w="10205" w:type="dxa"/>
        <w:jc w:val="left"/>
        <w:tblInd w:w="0" w:type="dxa"/>
        <w:tblLayout w:type="fixed"/>
        <w:tblCellMar>
          <w:top w:w="0" w:type="dxa"/>
          <w:left w:w="0" w:type="dxa"/>
          <w:bottom w:w="0" w:type="dxa"/>
          <w:right w:w="0" w:type="dxa"/>
        </w:tblCellMar>
      </w:tblPr>
      <w:tblGrid>
        <w:gridCol w:w="311"/>
        <w:gridCol w:w="9894"/>
      </w:tblGrid>
      <w:tr>
        <w:trPr/>
        <w:tc>
          <w:tcPr>
            <w:tcW w:w="311" w:type="dxa"/>
            <w:tcBorders/>
            <w:vAlign w:val="center"/>
          </w:tcPr>
          <w:p>
            <w:pPr>
              <w:pStyle w:val="TableContents"/>
              <w:bidi w:val="0"/>
              <w:spacing w:before="0" w:after="283"/>
              <w:jc w:val="left"/>
              <w:rPr/>
            </w:pPr>
            <w:r>
              <w:rPr/>
              <w:t>(ar)</w:t>
            </w:r>
          </w:p>
        </w:tc>
        <w:tc>
          <w:tcPr>
            <w:tcW w:w="9894"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3.11%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10205" w:type="dxa"/>
        <w:jc w:val="left"/>
        <w:tblInd w:w="0" w:type="dxa"/>
        <w:tblLayout w:type="fixed"/>
        <w:tblCellMar>
          <w:top w:w="0" w:type="dxa"/>
          <w:left w:w="0" w:type="dxa"/>
          <w:bottom w:w="0" w:type="dxa"/>
          <w:right w:w="0" w:type="dxa"/>
        </w:tblCellMar>
      </w:tblPr>
      <w:tblGrid>
        <w:gridCol w:w="326"/>
        <w:gridCol w:w="9879"/>
      </w:tblGrid>
      <w:tr>
        <w:trPr/>
        <w:tc>
          <w:tcPr>
            <w:tcW w:w="326" w:type="dxa"/>
            <w:tcBorders/>
            <w:vAlign w:val="center"/>
          </w:tcPr>
          <w:p>
            <w:pPr>
              <w:pStyle w:val="TableContents"/>
              <w:bidi w:val="0"/>
              <w:spacing w:before="0" w:after="283"/>
              <w:jc w:val="left"/>
              <w:rPr/>
            </w:pPr>
            <w:r>
              <w:rPr/>
              <w:t>(as)</w:t>
            </w:r>
          </w:p>
        </w:tc>
        <w:tc>
          <w:tcPr>
            <w:tcW w:w="987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2.79%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pPr>
            <w:r>
              <w:rPr/>
              <w:t>(at)</w:t>
            </w:r>
          </w:p>
        </w:tc>
        <w:tc>
          <w:tcPr>
            <w:tcW w:w="990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2.21%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10205" w:type="dxa"/>
        <w:jc w:val="left"/>
        <w:tblInd w:w="0" w:type="dxa"/>
        <w:tblLayout w:type="fixed"/>
        <w:tblCellMar>
          <w:top w:w="0" w:type="dxa"/>
          <w:left w:w="0" w:type="dxa"/>
          <w:bottom w:w="0" w:type="dxa"/>
          <w:right w:w="0" w:type="dxa"/>
        </w:tblCellMar>
      </w:tblPr>
      <w:tblGrid>
        <w:gridCol w:w="356"/>
        <w:gridCol w:w="9849"/>
      </w:tblGrid>
      <w:tr>
        <w:trPr/>
        <w:tc>
          <w:tcPr>
            <w:tcW w:w="356" w:type="dxa"/>
            <w:tcBorders/>
            <w:vAlign w:val="center"/>
          </w:tcPr>
          <w:p>
            <w:pPr>
              <w:pStyle w:val="TableContents"/>
              <w:bidi w:val="0"/>
              <w:spacing w:before="0" w:after="283"/>
              <w:jc w:val="left"/>
              <w:rPr/>
            </w:pPr>
            <w:r>
              <w:rPr/>
              <w:t>(au)</w:t>
            </w:r>
          </w:p>
        </w:tc>
        <w:tc>
          <w:tcPr>
            <w:tcW w:w="984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0.00%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10205" w:type="dxa"/>
        <w:jc w:val="left"/>
        <w:tblInd w:w="0" w:type="dxa"/>
        <w:tblLayout w:type="fixed"/>
        <w:tblCellMar>
          <w:top w:w="0" w:type="dxa"/>
          <w:left w:w="0" w:type="dxa"/>
          <w:bottom w:w="0" w:type="dxa"/>
          <w:right w:w="0" w:type="dxa"/>
        </w:tblCellMar>
      </w:tblPr>
      <w:tblGrid>
        <w:gridCol w:w="356"/>
        <w:gridCol w:w="9849"/>
      </w:tblGrid>
      <w:tr>
        <w:trPr/>
        <w:tc>
          <w:tcPr>
            <w:tcW w:w="356" w:type="dxa"/>
            <w:tcBorders/>
            <w:vAlign w:val="center"/>
          </w:tcPr>
          <w:p>
            <w:pPr>
              <w:pStyle w:val="TableContents"/>
              <w:bidi w:val="0"/>
              <w:spacing w:before="0" w:after="283"/>
              <w:jc w:val="left"/>
              <w:rPr/>
            </w:pPr>
            <w:r>
              <w:rPr/>
              <w:t>(av)</w:t>
            </w:r>
          </w:p>
        </w:tc>
        <w:tc>
          <w:tcPr>
            <w:tcW w:w="984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0.76%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6940" w:type="dxa"/>
        <w:jc w:val="left"/>
        <w:tblInd w:w="0" w:type="dxa"/>
        <w:tblLayout w:type="fixed"/>
        <w:tblCellMar>
          <w:top w:w="0" w:type="dxa"/>
          <w:left w:w="0" w:type="dxa"/>
          <w:bottom w:w="0" w:type="dxa"/>
          <w:right w:w="0" w:type="dxa"/>
        </w:tblCellMar>
      </w:tblPr>
      <w:tblGrid>
        <w:gridCol w:w="470"/>
        <w:gridCol w:w="6470"/>
      </w:tblGrid>
      <w:tr>
        <w:trPr/>
        <w:tc>
          <w:tcPr>
            <w:tcW w:w="470" w:type="dxa"/>
            <w:tcBorders/>
            <w:vAlign w:val="center"/>
          </w:tcPr>
          <w:p>
            <w:pPr>
              <w:pStyle w:val="TableContents"/>
              <w:bidi w:val="0"/>
              <w:spacing w:before="0" w:after="283"/>
              <w:jc w:val="left"/>
              <w:rPr/>
            </w:pPr>
            <w:r>
              <w:rPr/>
              <w:t>(aw)</w:t>
            </w:r>
          </w:p>
        </w:tc>
        <w:tc>
          <w:tcPr>
            <w:tcW w:w="647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Percentage of class held refers only to equity held, if any, calculated on a fully diluted basis.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5" w:name="toc29698_14"/>
      <w:bookmarkEnd w:id="15"/>
      <w:r>
        <w:rPr>
          <w:rFonts w:ascii="Times New Roman" w:hAnsi="Times New Roman"/>
          <w:b/>
          <w:sz w:val="20"/>
        </w:rPr>
        <w:t xml:space="preserve">MANAGEMENT </w:t>
      </w:r>
    </w:p>
    <w:p>
      <w:pPr>
        <w:pStyle w:val="TextBody"/>
        <w:bidi w:val="0"/>
        <w:spacing w:before="240" w:after="0"/>
        <w:jc w:val="left"/>
        <w:rPr/>
      </w:pPr>
      <w:r>
        <w:rPr>
          <w:rFonts w:ascii="Times New Roman" w:hAnsi="Times New Roman"/>
          <w:sz w:val="20"/>
        </w:rPr>
        <w:t xml:space="preserve">The information in the sections entitled “Proposal No. 1,” “Information About Executive Officer Who is Not a Director,” “Corporate Governance” “Compensation Discussion and Analysis,” “Certain Relationships and Related Transactions — Investment Committee,” and “Certain Relationships and Related Transactions — Portfolio Management” in our most recent </w:t>
      </w:r>
      <w:hyperlink r:id="rId24">
        <w:r>
          <w:rPr>
            <w:rStyle w:val="InternetLink"/>
            <w:rFonts w:ascii="Times New Roman" w:hAnsi="Times New Roman"/>
            <w:sz w:val="20"/>
          </w:rPr>
          <w:t>Definitive Proxy Statement on Schedule 14A</w:t>
        </w:r>
      </w:hyperlink>
      <w:r>
        <w:rPr>
          <w:rFonts w:ascii="Times New Roman" w:hAnsi="Times New Roman"/>
          <w:sz w:val="20"/>
        </w:rPr>
        <w:t xml:space="preserve"> is incorporated herein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6" w:name="toc29698_15"/>
      <w:bookmarkEnd w:id="16"/>
      <w:r>
        <w:rPr>
          <w:rFonts w:ascii="Times New Roman" w:hAnsi="Times New Roman"/>
          <w:b/>
          <w:sz w:val="20"/>
        </w:rPr>
        <w:t xml:space="preserve">MANAGEMENT AND OTHER AGREEMENTS </w:t>
      </w:r>
    </w:p>
    <w:p>
      <w:pPr>
        <w:pStyle w:val="TextBody"/>
        <w:bidi w:val="0"/>
        <w:spacing w:before="240" w:after="0"/>
        <w:jc w:val="left"/>
        <w:rPr/>
      </w:pPr>
      <w:r>
        <w:rPr>
          <w:rFonts w:ascii="Times New Roman" w:hAnsi="Times New Roman"/>
          <w:sz w:val="20"/>
        </w:rPr>
        <w:t xml:space="preserve">The information in the section entitled “Business — Management and Other Agreements” in Part I, Item 1 of our most recent </w:t>
      </w:r>
      <w:hyperlink r:id="rId25">
        <w:r>
          <w:rPr>
            <w:rStyle w:val="InternetLink"/>
            <w:rFonts w:ascii="Times New Roman" w:hAnsi="Times New Roman"/>
            <w:sz w:val="20"/>
          </w:rPr>
          <w:t>Annual Report on Form 10-K</w:t>
        </w:r>
      </w:hyperlink>
      <w:r>
        <w:rPr>
          <w:rFonts w:ascii="Times New Roman" w:hAnsi="Times New Roman"/>
          <w:sz w:val="20"/>
        </w:rPr>
        <w:t xml:space="preserve"> and in the notes to our consolidated financial statements under the caption “Note 5. Related Party Transactions” in our most recent </w:t>
      </w:r>
      <w:hyperlink r:id="rId26">
        <w:r>
          <w:rPr>
            <w:rStyle w:val="InternetLink"/>
            <w:rFonts w:ascii="Times New Roman" w:hAnsi="Times New Roman"/>
            <w:sz w:val="20"/>
          </w:rPr>
          <w:t>Annual Report on Form 10-K</w:t>
        </w:r>
      </w:hyperlink>
      <w:r>
        <w:rPr>
          <w:rFonts w:ascii="Times New Roman" w:hAnsi="Times New Roman"/>
          <w:sz w:val="20"/>
        </w:rPr>
        <w:t xml:space="preserve"> is incorporated herein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7" w:name="toc29698_16"/>
      <w:bookmarkEnd w:id="17"/>
      <w:r>
        <w:rPr>
          <w:rFonts w:ascii="Times New Roman" w:hAnsi="Times New Roman"/>
          <w:b/>
          <w:sz w:val="20"/>
        </w:rPr>
        <w:t xml:space="preserve">CERTAIN RELATIONSHIPS AND RELATED TRANSACTIONS </w:t>
      </w:r>
    </w:p>
    <w:p>
      <w:pPr>
        <w:pStyle w:val="TextBody"/>
        <w:bidi w:val="0"/>
        <w:spacing w:before="240" w:after="0"/>
        <w:jc w:val="left"/>
        <w:rPr/>
      </w:pPr>
      <w:r>
        <w:rPr>
          <w:rFonts w:ascii="Times New Roman" w:hAnsi="Times New Roman"/>
          <w:sz w:val="20"/>
        </w:rPr>
        <w:t xml:space="preserve">The information in the section entitled “Certain Relationships and Related Transactions” in our most recent </w:t>
      </w:r>
      <w:hyperlink r:id="rId27">
        <w:r>
          <w:rPr>
            <w:rStyle w:val="InternetLink"/>
            <w:rFonts w:ascii="Times New Roman" w:hAnsi="Times New Roman"/>
            <w:sz w:val="20"/>
          </w:rPr>
          <w:t>Definitive Proxy Statement on Schedule 14A</w:t>
        </w:r>
      </w:hyperlink>
      <w:r>
        <w:rPr>
          <w:rFonts w:ascii="Times New Roman" w:hAnsi="Times New Roman"/>
          <w:sz w:val="20"/>
        </w:rPr>
        <w:t xml:space="preserve"> is incorporated herein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8" w:name="toc29698_17"/>
      <w:bookmarkEnd w:id="18"/>
      <w:r>
        <w:rPr>
          <w:rFonts w:ascii="Times New Roman" w:hAnsi="Times New Roman"/>
          <w:b/>
          <w:sz w:val="20"/>
        </w:rPr>
        <w:t xml:space="preserve">CONTROL PERSONS AND PRINCIPAL STOCKHOLDERS </w:t>
      </w:r>
    </w:p>
    <w:p>
      <w:pPr>
        <w:pStyle w:val="TextBody"/>
        <w:bidi w:val="0"/>
        <w:spacing w:before="240" w:after="0"/>
        <w:jc w:val="left"/>
        <w:rPr/>
      </w:pPr>
      <w:r>
        <w:rPr>
          <w:rFonts w:ascii="Times New Roman" w:hAnsi="Times New Roman"/>
          <w:sz w:val="20"/>
        </w:rPr>
        <w:t xml:space="preserve">The information in the section entitled “Security Ownership of Certain Beneficial Owners and Management” in our most recent </w:t>
      </w:r>
      <w:hyperlink r:id="rId28">
        <w:r>
          <w:rPr>
            <w:rStyle w:val="InternetLink"/>
            <w:rFonts w:ascii="Times New Roman" w:hAnsi="Times New Roman"/>
            <w:sz w:val="20"/>
          </w:rPr>
          <w:t>Definitive Proxy Statement on Schedule 14A</w:t>
        </w:r>
      </w:hyperlink>
      <w:r>
        <w:rPr>
          <w:rFonts w:ascii="Times New Roman" w:hAnsi="Times New Roman"/>
          <w:sz w:val="20"/>
        </w:rPr>
        <w:t xml:space="preserve"> is incorporated herein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9" w:name="toc29698_18"/>
      <w:bookmarkEnd w:id="19"/>
      <w:r>
        <w:rPr>
          <w:rFonts w:ascii="Times New Roman" w:hAnsi="Times New Roman"/>
          <w:b/>
          <w:sz w:val="20"/>
        </w:rPr>
        <w:t xml:space="preserve">SALES OF COMMON STOCK BELOW NET ASSET VALUE </w:t>
      </w:r>
    </w:p>
    <w:p>
      <w:pPr>
        <w:pStyle w:val="TextBody"/>
        <w:bidi w:val="0"/>
        <w:spacing w:before="240" w:after="0"/>
        <w:jc w:val="left"/>
        <w:rPr>
          <w:rFonts w:ascii="Times New Roman" w:hAnsi="Times New Roman"/>
          <w:sz w:val="20"/>
        </w:rPr>
      </w:pPr>
      <w:r>
        <w:rPr>
          <w:rFonts w:ascii="Times New Roman" w:hAnsi="Times New Roman"/>
          <w:sz w:val="20"/>
        </w:rPr>
        <w:t xml:space="preserve">On June 8, 2023, our stockholders approved our ability to sell or otherwise issue shares of our common stock at a discount from net asset value per share for a period of one year ending on the earlier of June 8, 2024 or the date of our 2024 Annual Meeting of Stockholders. Our stockholders are being asked to consider and approve a similar proposal at our 2024 Annual Meeting of Stockholders. In order to sell shares pursuant to this authorization, a majority of our directors who have no financial interest in the sale or issuance and a majority of our independent directors must (a) find that the sale or issuance is in our best interests and in the best interests of our stockholders, and (b) in consultation with any underwriter or underwriters of the offering, make a good faith determination as of a time either immediately prior to the first solicitation by us or on our behalf of firm commitments to purchase such shares, or immediately prior to the issuance of such shares, that the price at which such shares are to be sold or otherwise issued is not less than a price which closely approximates the market value of such shares, less any distributing commission or discount. It should be noted that the maximum number of shares issuable below net asset value pursuant to this authority that could result in such dilution is limited to 25% of the Company’s then outstanding common stock immediately prior to each such sale. Any offering of common stock below net asset value per share will be designed to raise capital for investment in accordance with our investment objective. </w:t>
      </w:r>
    </w:p>
    <w:p>
      <w:pPr>
        <w:pStyle w:val="TextBody"/>
        <w:bidi w:val="0"/>
        <w:spacing w:before="240" w:after="0"/>
        <w:jc w:val="left"/>
        <w:rPr>
          <w:rFonts w:ascii="Times New Roman" w:hAnsi="Times New Roman"/>
          <w:sz w:val="20"/>
        </w:rPr>
      </w:pPr>
      <w:r>
        <w:rPr>
          <w:rFonts w:ascii="Times New Roman" w:hAnsi="Times New Roman"/>
          <w:sz w:val="20"/>
        </w:rPr>
        <w:t xml:space="preserve">In making a determination that an offering below net asset value per share is in our and our stockholders’ best interests, our board of directors considers a variety of factors,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effect that an offering below net asset value per share would have on our stockholders, including the potential dilution they would experience as a result of the offering;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 per share by which the offering price per share and the net proceeds per share are less than the most recently determined net asset value per share;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relationship of recent market prices of our common stock to net asset value per share and the potential impact of the offering on the market price per share of our common stock; </w:t>
            </w:r>
          </w:p>
        </w:tc>
      </w:tr>
    </w:tbl>
    <w:p>
      <w:pPr>
        <w:pStyle w:val="TextBody"/>
        <w:bidi w:val="0"/>
        <w:spacing w:before="0" w:after="0"/>
        <w:jc w:val="left"/>
        <w:rPr/>
      </w:pPr>
      <w:r>
        <w:rPr/>
        <w:t> </w:t>
      </w:r>
    </w:p>
    <w:tbl>
      <w:tblPr>
        <w:tblW w:w="8005" w:type="dxa"/>
        <w:jc w:val="left"/>
        <w:tblInd w:w="0" w:type="dxa"/>
        <w:tblLayout w:type="fixed"/>
        <w:tblCellMar>
          <w:top w:w="0" w:type="dxa"/>
          <w:left w:w="0" w:type="dxa"/>
          <w:bottom w:w="0" w:type="dxa"/>
          <w:right w:w="0" w:type="dxa"/>
        </w:tblCellMar>
      </w:tblPr>
      <w:tblGrid>
        <w:gridCol w:w="75"/>
        <w:gridCol w:w="110"/>
        <w:gridCol w:w="60"/>
        <w:gridCol w:w="77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the estimated offering price would closely approximate the market value of our shares; </w:t>
            </w:r>
          </w:p>
        </w:tc>
      </w:tr>
    </w:tbl>
    <w:p>
      <w:pPr>
        <w:pStyle w:val="TextBody"/>
        <w:bidi w:val="0"/>
        <w:spacing w:before="0" w:after="0"/>
        <w:jc w:val="left"/>
        <w:rPr/>
      </w:pPr>
      <w:r>
        <w:rPr/>
        <w:t> </w:t>
      </w:r>
    </w:p>
    <w:tbl>
      <w:tblPr>
        <w:tblW w:w="8755" w:type="dxa"/>
        <w:jc w:val="left"/>
        <w:tblInd w:w="0" w:type="dxa"/>
        <w:tblLayout w:type="fixed"/>
        <w:tblCellMar>
          <w:top w:w="0" w:type="dxa"/>
          <w:left w:w="0" w:type="dxa"/>
          <w:bottom w:w="0" w:type="dxa"/>
          <w:right w:w="0" w:type="dxa"/>
        </w:tblCellMar>
      </w:tblPr>
      <w:tblGrid>
        <w:gridCol w:w="75"/>
        <w:gridCol w:w="110"/>
        <w:gridCol w:w="60"/>
        <w:gridCol w:w="85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potential market impact of being able to raise capital during the current financial market difficulties; </w:t>
            </w:r>
          </w:p>
        </w:tc>
      </w:tr>
    </w:tbl>
    <w:p>
      <w:pPr>
        <w:pStyle w:val="TextBody"/>
        <w:bidi w:val="0"/>
        <w:spacing w:before="0" w:after="0"/>
        <w:jc w:val="left"/>
        <w:rPr/>
      </w:pPr>
      <w:r>
        <w:rPr/>
        <w:t> </w:t>
      </w:r>
    </w:p>
    <w:tbl>
      <w:tblPr>
        <w:tblW w:w="8215" w:type="dxa"/>
        <w:jc w:val="left"/>
        <w:tblInd w:w="0" w:type="dxa"/>
        <w:tblLayout w:type="fixed"/>
        <w:tblCellMar>
          <w:top w:w="0" w:type="dxa"/>
          <w:left w:w="0" w:type="dxa"/>
          <w:bottom w:w="0" w:type="dxa"/>
          <w:right w:w="0" w:type="dxa"/>
        </w:tblCellMar>
      </w:tblPr>
      <w:tblGrid>
        <w:gridCol w:w="75"/>
        <w:gridCol w:w="110"/>
        <w:gridCol w:w="60"/>
        <w:gridCol w:w="79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nature of any new investors anticipated to acquire shares of our common stock in the offering; </w:t>
            </w:r>
          </w:p>
        </w:tc>
      </w:tr>
    </w:tbl>
    <w:p>
      <w:pPr>
        <w:pStyle w:val="TextBody"/>
        <w:bidi w:val="0"/>
        <w:spacing w:before="0" w:after="0"/>
        <w:jc w:val="left"/>
        <w:rPr/>
      </w:pPr>
      <w:r>
        <w:rPr/>
        <w:t> </w:t>
      </w:r>
    </w:p>
    <w:tbl>
      <w:tblPr>
        <w:tblW w:w="7270" w:type="dxa"/>
        <w:jc w:val="left"/>
        <w:tblInd w:w="0" w:type="dxa"/>
        <w:tblLayout w:type="fixed"/>
        <w:tblCellMar>
          <w:top w:w="0" w:type="dxa"/>
          <w:left w:w="0" w:type="dxa"/>
          <w:bottom w:w="0" w:type="dxa"/>
          <w:right w:w="0" w:type="dxa"/>
        </w:tblCellMar>
      </w:tblPr>
      <w:tblGrid>
        <w:gridCol w:w="75"/>
        <w:gridCol w:w="110"/>
        <w:gridCol w:w="60"/>
        <w:gridCol w:w="70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anticipated rate of return on and quality, type and availability of investments; and </w:t>
            </w:r>
          </w:p>
        </w:tc>
      </w:tr>
    </w:tbl>
    <w:p>
      <w:pPr>
        <w:pStyle w:val="TextBody"/>
        <w:bidi w:val="0"/>
        <w:spacing w:before="0" w:after="0"/>
        <w:jc w:val="left"/>
        <w:rPr/>
      </w:pPr>
      <w:r>
        <w:rPr/>
        <w:t> </w:t>
      </w:r>
    </w:p>
    <w:tbl>
      <w:tblPr>
        <w:tblW w:w="2590" w:type="dxa"/>
        <w:jc w:val="left"/>
        <w:tblInd w:w="0" w:type="dxa"/>
        <w:tblLayout w:type="fixed"/>
        <w:tblCellMar>
          <w:top w:w="0" w:type="dxa"/>
          <w:left w:w="0" w:type="dxa"/>
          <w:bottom w:w="0" w:type="dxa"/>
          <w:right w:w="0" w:type="dxa"/>
        </w:tblCellMar>
      </w:tblPr>
      <w:tblGrid>
        <w:gridCol w:w="75"/>
        <w:gridCol w:w="110"/>
        <w:gridCol w:w="60"/>
        <w:gridCol w:w="23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leverage available to 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Sales or other issuances by us of our common stock at a discount from the net asset value per share pose potential risks for our existing stockholders whether or not they participate in the offering, as well as for new investors who participate in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three headings and accompanying tables will explain and provide hypothetical examples on the impact of an offering at a price less than the net asset value per share on three different sets of investors: </w:t>
      </w:r>
    </w:p>
    <w:p>
      <w:pPr>
        <w:pStyle w:val="TextBody"/>
        <w:bidi w:val="0"/>
        <w:spacing w:before="0" w:after="0"/>
        <w:jc w:val="left"/>
        <w:rPr/>
      </w:pPr>
      <w:r>
        <w:rPr/>
        <w:t> </w:t>
      </w:r>
    </w:p>
    <w:tbl>
      <w:tblPr>
        <w:tblW w:w="5935" w:type="dxa"/>
        <w:jc w:val="left"/>
        <w:tblInd w:w="0" w:type="dxa"/>
        <w:tblLayout w:type="fixed"/>
        <w:tblCellMar>
          <w:top w:w="0" w:type="dxa"/>
          <w:left w:w="0" w:type="dxa"/>
          <w:bottom w:w="0" w:type="dxa"/>
          <w:right w:w="0" w:type="dxa"/>
        </w:tblCellMar>
      </w:tblPr>
      <w:tblGrid>
        <w:gridCol w:w="75"/>
        <w:gridCol w:w="110"/>
        <w:gridCol w:w="60"/>
        <w:gridCol w:w="56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existing stockholders who do not purchase any shares in the offering;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existing stockholders who purchase a relatively small amount of shares of our common stock in the offering or a relatively large amount of shares of our common stock in the offering; and </w:t>
            </w:r>
          </w:p>
        </w:tc>
      </w:tr>
    </w:tbl>
    <w:p>
      <w:pPr>
        <w:pStyle w:val="TextBody"/>
        <w:bidi w:val="0"/>
        <w:spacing w:before="0" w:after="0"/>
        <w:jc w:val="left"/>
        <w:rPr/>
      </w:pPr>
      <w:r>
        <w:rPr/>
        <w:t> </w:t>
      </w:r>
    </w:p>
    <w:tbl>
      <w:tblPr>
        <w:tblW w:w="8320" w:type="dxa"/>
        <w:jc w:val="left"/>
        <w:tblInd w:w="0" w:type="dxa"/>
        <w:tblLayout w:type="fixed"/>
        <w:tblCellMar>
          <w:top w:w="0" w:type="dxa"/>
          <w:left w:w="0" w:type="dxa"/>
          <w:bottom w:w="0" w:type="dxa"/>
          <w:right w:w="0" w:type="dxa"/>
        </w:tblCellMar>
      </w:tblPr>
      <w:tblGrid>
        <w:gridCol w:w="75"/>
        <w:gridCol w:w="110"/>
        <w:gridCol w:w="60"/>
        <w:gridCol w:w="80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new investors who become stockholders by purchasing shares of our common stock in the offering.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tables below provide hypothetical examples of the impact that an offering at a price less than net asset value per share may have on the net asset value per share of stockholders and investors who do and do not participate in such an offering. However, the tables below do not show, nor are they intended to show, any potential changes in market price that may occur from an offering at a price less than net asset value per share and it is not possible to predict any potential market price change that may occur from such an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Impact on Existing Stockholders Who Do Not Participate in an Offering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Our existing stockholders who do not participate in an offering below net asset value per share or who do not buy additional shares in the secondary market at the same or lower price we obtain in the offering (after expenses and commissions) face the greatest potential risk of an immediate decrease (often called dilution) in the net asset value of the shares they hold and their net asset value per share. These stockholders will also experience a disproportionately greater decrease in their participation in our earnings and assets and their voting power than the increase we will experience in our assets, potential earning power and voting interests due to the offering. These stockholders may also experience a decline in the market price of their shares, which often reflects to some degree announced or potential increases and decreases in net asset value per share. This decrease could be more pronounced as the size of the offering and level of discounts increases.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illustrates the level of net asset value dilution that would be experienced by a nonparticipating stockholder in three different hypothetical offerings of different sizes and levels of discount from net asset value per share, although it is not possible to predict the level of market price decline that may occur. Actual sales prices and discounts may differ from the presentation below. </w:t>
      </w:r>
    </w:p>
    <w:p>
      <w:pPr>
        <w:pStyle w:val="TextBody"/>
        <w:bidi w:val="0"/>
        <w:spacing w:before="240" w:after="0"/>
        <w:jc w:val="left"/>
        <w:rPr>
          <w:rFonts w:ascii="Times New Roman" w:hAnsi="Times New Roman"/>
          <w:sz w:val="20"/>
        </w:rPr>
      </w:pPr>
      <w:r>
        <w:rPr>
          <w:rFonts w:ascii="Times New Roman" w:hAnsi="Times New Roman"/>
          <w:sz w:val="20"/>
        </w:rPr>
        <w:t xml:space="preserve">The examples assume that Company XYZ has 1,000,000 shares of common stock outstanding, $15,000,000 in total assets and $5,000,000 in total liabilities. The current net asset value and net asset value per share are thus $10,000,000 and $10.00. The table illustrates the dilutive effect on nonparticipating Stockholder A of (1) an offering of 50,000 shares (5.0% of the outstanding shares) at $9.50 per share after offering expenses and commission (a 5.0% discount from net asset value), (2) an offering of 100,000 shares (10.0% of the outstanding shares) at $9.00 per share after offering expenses and commissions (a 10.0% discount from net asset value) and (3) an offering of 200,000 shares (20.0% of the outstanding shares) at $8.00 per share after offering expenses and commissions (a 20.0% discount from net asset value). The acronym “NAV” stands for “net asset value.” </w:t>
      </w:r>
    </w:p>
    <w:p>
      <w:pPr>
        <w:pStyle w:val="TextBody"/>
        <w:bidi w:val="0"/>
        <w:spacing w:before="0" w:after="0"/>
        <w:jc w:val="left"/>
        <w:rPr/>
      </w:pPr>
      <w:r>
        <w:rPr/>
        <w:t> </w:t>
      </w:r>
    </w:p>
    <w:tbl>
      <w:tblPr>
        <w:tblW w:w="10335" w:type="dxa"/>
        <w:jc w:val="left"/>
        <w:tblInd w:w="0" w:type="dxa"/>
        <w:tblLayout w:type="fixed"/>
        <w:tblCellMar>
          <w:top w:w="0" w:type="dxa"/>
          <w:left w:w="0" w:type="dxa"/>
          <w:bottom w:w="0" w:type="dxa"/>
          <w:right w:w="0" w:type="dxa"/>
        </w:tblCellMar>
      </w:tblPr>
      <w:tblGrid>
        <w:gridCol w:w="875"/>
        <w:gridCol w:w="60"/>
        <w:gridCol w:w="161"/>
        <w:gridCol w:w="1134"/>
        <w:gridCol w:w="275"/>
        <w:gridCol w:w="60"/>
        <w:gridCol w:w="140"/>
        <w:gridCol w:w="980"/>
        <w:gridCol w:w="275"/>
        <w:gridCol w:w="60"/>
        <w:gridCol w:w="85"/>
        <w:gridCol w:w="730"/>
        <w:gridCol w:w="275"/>
        <w:gridCol w:w="60"/>
        <w:gridCol w:w="140"/>
        <w:gridCol w:w="980"/>
        <w:gridCol w:w="275"/>
        <w:gridCol w:w="60"/>
        <w:gridCol w:w="78"/>
        <w:gridCol w:w="737"/>
        <w:gridCol w:w="275"/>
        <w:gridCol w:w="60"/>
        <w:gridCol w:w="140"/>
        <w:gridCol w:w="980"/>
        <w:gridCol w:w="275"/>
        <w:gridCol w:w="60"/>
        <w:gridCol w:w="70"/>
        <w:gridCol w:w="745"/>
        <w:gridCol w:w="290"/>
      </w:tblGrid>
      <w:tr>
        <w:trPr/>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0" w:type="dxa"/>
            <w:gridSpan w:val="6"/>
            <w:tcBorders>
              <w:bottom w:val="single" w:sz="8" w:space="0" w:color="000000"/>
            </w:tcBorders>
            <w:tcMar>
              <w:bottom w:w="28" w:type="dxa"/>
            </w:tcMar>
            <w:vAlign w:val="center"/>
          </w:tcPr>
          <w:p>
            <w:pPr>
              <w:pStyle w:val="TableContents"/>
              <w:bidi w:val="0"/>
              <w:spacing w:before="0" w:after="283"/>
              <w:jc w:val="center"/>
              <w:rPr/>
            </w:pPr>
            <w:r>
              <w:rPr>
                <w:b/>
              </w:rPr>
              <w:t>Example 1</w:t>
            </w:r>
            <w:r>
              <w:rPr/>
              <w:br/>
            </w:r>
            <w:r>
              <w:rPr>
                <w:b/>
              </w:rPr>
              <w:t>5.0% Offering</w:t>
            </w:r>
            <w:r>
              <w:rPr/>
              <w:br/>
            </w:r>
            <w:r>
              <w:rPr>
                <w:b/>
              </w:rPr>
              <w:t>At 5.0% Discount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0" w:type="dxa"/>
            <w:gridSpan w:val="6"/>
            <w:tcBorders>
              <w:bottom w:val="single" w:sz="8" w:space="0" w:color="000000"/>
            </w:tcBorders>
            <w:tcMar>
              <w:bottom w:w="28" w:type="dxa"/>
            </w:tcMar>
            <w:vAlign w:val="center"/>
          </w:tcPr>
          <w:p>
            <w:pPr>
              <w:pStyle w:val="TableContents"/>
              <w:bidi w:val="0"/>
              <w:spacing w:before="0" w:after="283"/>
              <w:jc w:val="center"/>
              <w:rPr/>
            </w:pPr>
            <w:r>
              <w:rPr>
                <w:b/>
              </w:rPr>
              <w:t>Example 2</w:t>
            </w:r>
            <w:r>
              <w:rPr/>
              <w:br/>
            </w:r>
            <w:r>
              <w:rPr>
                <w:b/>
              </w:rPr>
              <w:t>10.0% Offering</w:t>
            </w:r>
            <w:r>
              <w:rPr/>
              <w:br/>
            </w:r>
            <w:r>
              <w:rPr>
                <w:b/>
              </w:rPr>
              <w:t>At 10.0% Discount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0" w:type="dxa"/>
            <w:gridSpan w:val="6"/>
            <w:tcBorders>
              <w:bottom w:val="single" w:sz="8" w:space="0" w:color="000000"/>
            </w:tcBorders>
            <w:tcMar>
              <w:bottom w:w="28" w:type="dxa"/>
            </w:tcMar>
            <w:vAlign w:val="center"/>
          </w:tcPr>
          <w:p>
            <w:pPr>
              <w:pStyle w:val="TableContents"/>
              <w:bidi w:val="0"/>
              <w:spacing w:before="0" w:after="283"/>
              <w:jc w:val="center"/>
              <w:rPr/>
            </w:pPr>
            <w:r>
              <w:rPr>
                <w:b/>
              </w:rPr>
              <w:t>Example 3</w:t>
            </w:r>
            <w:r>
              <w:rPr/>
              <w:br/>
            </w:r>
            <w:r>
              <w:rPr>
                <w:b/>
              </w:rPr>
              <w:t>20.0% Offering</w:t>
            </w:r>
            <w:r>
              <w:rPr/>
              <w:br/>
            </w:r>
            <w:r>
              <w:rPr>
                <w:b/>
              </w:rPr>
              <w:t>At 20.0% Discount</w:t>
            </w:r>
          </w:p>
        </w:tc>
        <w:tc>
          <w:tcPr>
            <w:tcW w:w="290" w:type="dxa"/>
            <w:tcBorders/>
            <w:vAlign w:val="center"/>
          </w:tcPr>
          <w:p>
            <w:pPr>
              <w:pStyle w:val="TableContents"/>
              <w:bidi w:val="0"/>
              <w:spacing w:before="0" w:after="283"/>
              <w:jc w:val="left"/>
              <w:rPr/>
            </w:pPr>
            <w:r>
              <w:rPr/>
              <w:t> </w:t>
            </w:r>
          </w:p>
        </w:tc>
      </w:tr>
      <w:tr>
        <w:trPr/>
        <w:tc>
          <w:tcPr>
            <w:tcW w:w="87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Period</w:t>
            </w:r>
          </w:p>
        </w:tc>
        <w:tc>
          <w:tcPr>
            <w:tcW w:w="6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pPr>
            <w:r>
              <w:rPr>
                <w:b/>
              </w:rPr>
              <w:t>Prior to Sale</w:t>
            </w:r>
            <w:r>
              <w:rPr/>
              <w:br/>
            </w:r>
            <w:r>
              <w:rPr>
                <w:b/>
              </w:rPr>
              <w:t>Below NAV</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Following</w:t>
              <w:br/>
              <w:t>Sale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br/>
              <w:t>Change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Following</w:t>
              <w:br/>
              <w:t>Sale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br/>
              <w:t>Change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Following</w:t>
              <w:br/>
              <w:t>Sale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br/>
              <w:t>Change</w:t>
            </w:r>
          </w:p>
        </w:tc>
        <w:tc>
          <w:tcPr>
            <w:tcW w:w="290" w:type="dxa"/>
            <w:tcBorders/>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jc w:val="left"/>
              <w:rPr>
                <w:rFonts w:ascii="Times New Roman" w:hAnsi="Times New Roman"/>
                <w:b/>
                <w:i/>
                <w:sz w:val="17"/>
              </w:rPr>
            </w:pPr>
            <w:r>
              <w:rPr>
                <w:rFonts w:ascii="Times New Roman" w:hAnsi="Times New Roman"/>
                <w:b/>
                <w:i/>
                <w:sz w:val="17"/>
              </w:rPr>
              <w:t>Offering Price</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sz w:val="4"/>
                <w:szCs w:val="4"/>
              </w:rPr>
            </w:pPr>
            <w:r>
              <w:rPr>
                <w:sz w:val="4"/>
                <w:szCs w:val="4"/>
              </w:rPr>
            </w:r>
          </w:p>
        </w:tc>
        <w:tc>
          <w:tcPr>
            <w:tcW w:w="1134"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73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745"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Price per Share to Public</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9.47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8.42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45"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Net Proceeds per Share to Issuer</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9.50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9.00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8.00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jc w:val="left"/>
              <w:rPr>
                <w:rFonts w:ascii="Times New Roman" w:hAnsi="Times New Roman"/>
                <w:b/>
                <w:i/>
                <w:sz w:val="17"/>
              </w:rPr>
            </w:pPr>
            <w:r>
              <w:rPr>
                <w:rFonts w:ascii="Times New Roman" w:hAnsi="Times New Roman"/>
                <w:b/>
                <w:i/>
                <w:sz w:val="17"/>
              </w:rPr>
              <w:t>Increase (Decrease) to NAV</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75"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Total Shares Outstanding</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1,000,000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1,050,000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5.00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1,100,000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10.00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1,200,000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20.00</w:t>
            </w:r>
          </w:p>
        </w:tc>
        <w:tc>
          <w:tcPr>
            <w:tcW w:w="290" w:type="dxa"/>
            <w:tcBorders/>
            <w:shd w:fill="CCEEFF" w:val="clear"/>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NAV per Share</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w:t>
            </w:r>
          </w:p>
        </w:tc>
        <w:tc>
          <w:tcPr>
            <w:tcW w:w="1134" w:type="dxa"/>
            <w:tcBorders/>
            <w:vAlign w:val="center"/>
          </w:tcPr>
          <w:p>
            <w:pPr>
              <w:pStyle w:val="TableContents"/>
              <w:bidi w:val="0"/>
              <w:spacing w:before="0" w:after="283"/>
              <w:jc w:val="right"/>
              <w:rPr/>
            </w:pPr>
            <w:r>
              <w:rPr/>
              <w:t>10.00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9.98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pPr>
            <w:r>
              <w:rPr/>
              <w:t>(0.24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9.91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(0.91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9.67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45" w:type="dxa"/>
            <w:tcBorders/>
            <w:vAlign w:val="center"/>
          </w:tcPr>
          <w:p>
            <w:pPr>
              <w:pStyle w:val="TableContents"/>
              <w:bidi w:val="0"/>
              <w:spacing w:before="0" w:after="283"/>
              <w:jc w:val="right"/>
              <w:rPr/>
            </w:pPr>
            <w:r>
              <w:rPr/>
              <w:t>(3.33</w:t>
            </w:r>
          </w:p>
        </w:tc>
        <w:tc>
          <w:tcPr>
            <w:tcW w:w="290" w:type="dxa"/>
            <w:tcBorders/>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jc w:val="left"/>
              <w:rPr>
                <w:rFonts w:ascii="Times New Roman" w:hAnsi="Times New Roman"/>
                <w:b/>
                <w:i/>
                <w:sz w:val="17"/>
              </w:rPr>
            </w:pPr>
            <w:r>
              <w:rPr>
                <w:rFonts w:ascii="Times New Roman" w:hAnsi="Times New Roman"/>
                <w:b/>
                <w:i/>
                <w:sz w:val="17"/>
              </w:rPr>
              <w:t>(Dilution) Accretion to Stockholder</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sz w:val="4"/>
                <w:szCs w:val="4"/>
              </w:rPr>
            </w:pPr>
            <w:r>
              <w:rPr>
                <w:sz w:val="4"/>
                <w:szCs w:val="4"/>
              </w:rPr>
            </w:r>
          </w:p>
        </w:tc>
        <w:tc>
          <w:tcPr>
            <w:tcW w:w="1134"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73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745"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Shares Held by Stockholder A</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right"/>
              <w:rPr/>
            </w:pPr>
            <w:r>
              <w:rPr/>
              <w:t>10,000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45"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Percentage Held by Stockholder A</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1.0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0.95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(4.76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0.91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(9.09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0.83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(16.67</w:t>
            </w:r>
          </w:p>
        </w:tc>
        <w:tc>
          <w:tcPr>
            <w:tcW w:w="290" w:type="dxa"/>
            <w:tcBorders/>
            <w:shd w:fill="CCEEFF" w:val="clear"/>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jc w:val="left"/>
              <w:rPr>
                <w:rFonts w:ascii="Times New Roman" w:hAnsi="Times New Roman"/>
                <w:b/>
                <w:sz w:val="17"/>
              </w:rPr>
            </w:pPr>
            <w:r>
              <w:rPr>
                <w:rFonts w:ascii="Times New Roman" w:hAnsi="Times New Roman"/>
                <w:b/>
                <w:sz w:val="17"/>
              </w:rPr>
              <w:t>Total Asset Values</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75"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Total NAV Held by Stockholder A</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1134" w:type="dxa"/>
            <w:tcBorders/>
            <w:shd w:fill="CCEEFF" w:val="clear"/>
            <w:vAlign w:val="center"/>
          </w:tcPr>
          <w:p>
            <w:pPr>
              <w:pStyle w:val="TableContents"/>
              <w:bidi w:val="0"/>
              <w:spacing w:before="0" w:after="283"/>
              <w:jc w:val="right"/>
              <w:rPr/>
            </w:pPr>
            <w:r>
              <w:rPr/>
              <w:t>100,000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99,762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(0.24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99,091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(0.91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96,667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(3.33</w:t>
            </w:r>
          </w:p>
        </w:tc>
        <w:tc>
          <w:tcPr>
            <w:tcW w:w="290" w:type="dxa"/>
            <w:tcBorders/>
            <w:shd w:fill="CCEEFF" w:val="clear"/>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Total Investment by Stockholder A (Assumed to Be $10.00 per Share)</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w:t>
            </w:r>
          </w:p>
        </w:tc>
        <w:tc>
          <w:tcPr>
            <w:tcW w:w="1134" w:type="dxa"/>
            <w:tcBorders/>
            <w:vAlign w:val="center"/>
          </w:tcPr>
          <w:p>
            <w:pPr>
              <w:pStyle w:val="TableContents"/>
              <w:bidi w:val="0"/>
              <w:spacing w:before="0" w:after="283"/>
              <w:jc w:val="right"/>
              <w:rPr/>
            </w:pPr>
            <w:r>
              <w:rPr/>
              <w:t>100,000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100,000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100,000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100,000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45"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Total (Dilution) Accretion to Stockholder A (Total NAV Less Total Investment)</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(238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(909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(3,333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jc w:val="left"/>
              <w:rPr>
                <w:rFonts w:ascii="Times New Roman" w:hAnsi="Times New Roman"/>
                <w:b/>
                <w:sz w:val="17"/>
              </w:rPr>
            </w:pPr>
            <w:r>
              <w:rPr>
                <w:rFonts w:ascii="Times New Roman" w:hAnsi="Times New Roman"/>
                <w:b/>
                <w:sz w:val="17"/>
              </w:rPr>
              <w:t>Per Share Amounts</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75"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NAV per Share Held by Stockholder A</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9.98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9.91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9.67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Investment per Share Held by Stockholder A (Assumed to be $10.00 per Share)</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w:t>
            </w:r>
          </w:p>
        </w:tc>
        <w:tc>
          <w:tcPr>
            <w:tcW w:w="1134" w:type="dxa"/>
            <w:tcBorders/>
            <w:vAlign w:val="center"/>
          </w:tcPr>
          <w:p>
            <w:pPr>
              <w:pStyle w:val="TableContents"/>
              <w:bidi w:val="0"/>
              <w:spacing w:before="0" w:after="283"/>
              <w:jc w:val="right"/>
              <w:rPr/>
            </w:pPr>
            <w:r>
              <w:rPr/>
              <w:t>10.00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45"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(Dilution) Accretion per Share Held by Stockholder A (NAV per Share Less Investment per Share)</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(0.02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(0.09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(0.33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Percentage (Dilution) Accretion to Stockholder A (Dilution per Share Divided by Investment per Share)</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pPr>
            <w:r>
              <w:rPr/>
              <w:t>(0.24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(0.91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45" w:type="dxa"/>
            <w:tcBorders/>
            <w:vAlign w:val="center"/>
          </w:tcPr>
          <w:p>
            <w:pPr>
              <w:pStyle w:val="TableContents"/>
              <w:bidi w:val="0"/>
              <w:spacing w:before="0" w:after="283"/>
              <w:jc w:val="right"/>
              <w:rPr/>
            </w:pPr>
            <w:r>
              <w:rPr/>
              <w:t>(3.33</w:t>
            </w:r>
          </w:p>
        </w:tc>
        <w:tc>
          <w:tcPr>
            <w:tcW w:w="29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Impact on Existing Stockholders Who Do Participate in an Offering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Our existing stockholders who participate in an offering below net asset value per share or who buy additional shares in the secondary market at the same or lower price as we obtain in the offering (after expenses and commissions) will experience the same types of net asset value dilution as the nonparticipating stockholders, albeit at a lower level, to the extent they purchase less than the same percentage of the discounted offering as their interest in our shares immediately prior to the offering. The level of net asset value dilution will decrease as the number of shares such stockholders purchase increases. Existing stockholders who buy more than such percentage will experience net asset value dilution on their existing shares but will, in contrast to existing stockholders who purchase less than their proportionate share of the offering, experience an increase (often called accretion) in average net asset value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 participates will, however, be subject to the risk that we may make additional discounted offerings in which such stockholder does not participate, in which case such a stockholder will experience net asset value dilution as described above in such subsequent offerings. These stockholders may also experience a decline in the market price of their shares, which often reflects to some degree announced or potential decreases in net asset value per share. This decrease could be more pronounced as the size of the offering and the level of discounts increases.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illustrates the level of dilution and accretion in the hypothetical 20.0% discount offering from the prior table (Example 3) for a stockholder that acquires shares equal to (1) 50.0% of its proportionate share of the offering (i.e., 1,000 shares, which is 0.5% of an offering of 200,000 shares) rather than its 1.0% proportionate share and (2) 150% of such percentage (i.e. 3,000 shares, which is 1.5% of an offering of 200,000 shares rather than its 1.0% proportionate share). The prospectus supplement pursuant to which any discounted offering is made will include a table for these examples based on the actual number of shares in such offering and the actual discount from the most recently determined net asset value per share. It is not possible to predict the level of market price decline that may occur. Actual sales prices and discounts may differ from the presentation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293"/>
        <w:gridCol w:w="60"/>
        <w:gridCol w:w="161"/>
        <w:gridCol w:w="1134"/>
        <w:gridCol w:w="275"/>
        <w:gridCol w:w="60"/>
        <w:gridCol w:w="140"/>
        <w:gridCol w:w="980"/>
        <w:gridCol w:w="275"/>
        <w:gridCol w:w="60"/>
        <w:gridCol w:w="78"/>
        <w:gridCol w:w="737"/>
        <w:gridCol w:w="303"/>
        <w:gridCol w:w="60"/>
        <w:gridCol w:w="140"/>
        <w:gridCol w:w="980"/>
        <w:gridCol w:w="275"/>
        <w:gridCol w:w="60"/>
        <w:gridCol w:w="78"/>
        <w:gridCol w:w="737"/>
        <w:gridCol w:w="319"/>
      </w:tblGrid>
      <w:tr>
        <w:trPr/>
        <w:tc>
          <w:tcPr>
            <w:tcW w:w="32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32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50.0% Participation</w:t>
            </w:r>
          </w:p>
        </w:tc>
        <w:tc>
          <w:tcPr>
            <w:tcW w:w="3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150.0%</w:t>
              <w:br/>
              <w:t>Participation</w:t>
            </w:r>
          </w:p>
        </w:tc>
        <w:tc>
          <w:tcPr>
            <w:tcW w:w="319" w:type="dxa"/>
            <w:tcBorders/>
            <w:vAlign w:val="center"/>
          </w:tcPr>
          <w:p>
            <w:pPr>
              <w:pStyle w:val="TableContents"/>
              <w:bidi w:val="0"/>
              <w:spacing w:before="0" w:after="283"/>
              <w:jc w:val="left"/>
              <w:rPr/>
            </w:pPr>
            <w:r>
              <w:rPr/>
              <w:t> </w:t>
            </w:r>
          </w:p>
        </w:tc>
      </w:tr>
      <w:tr>
        <w:trPr/>
        <w:tc>
          <w:tcPr>
            <w:tcW w:w="3293"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Period</w:t>
            </w:r>
          </w:p>
        </w:tc>
        <w:tc>
          <w:tcPr>
            <w:tcW w:w="6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pPr>
            <w:r>
              <w:rPr>
                <w:b/>
              </w:rPr>
              <w:t>Prior to Sale</w:t>
            </w:r>
            <w:r>
              <w:rPr/>
              <w:br/>
            </w:r>
            <w:r>
              <w:rPr>
                <w:b/>
              </w:rPr>
              <w:t>Below NAV</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Following</w:t>
              <w:br/>
              <w:t>Sale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br/>
              <w:t>Change</w:t>
            </w:r>
          </w:p>
        </w:tc>
        <w:tc>
          <w:tcPr>
            <w:tcW w:w="3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Following</w:t>
              <w:br/>
              <w:t>Sale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br/>
              <w:t>Change</w:t>
            </w:r>
          </w:p>
        </w:tc>
        <w:tc>
          <w:tcPr>
            <w:tcW w:w="319" w:type="dxa"/>
            <w:tcBorders/>
            <w:vAlign w:val="center"/>
          </w:tcPr>
          <w:p>
            <w:pPr>
              <w:pStyle w:val="TableContents"/>
              <w:bidi w:val="0"/>
              <w:spacing w:before="0" w:after="283"/>
              <w:jc w:val="left"/>
              <w:rPr/>
            </w:pPr>
            <w:r>
              <w:rPr/>
              <w:t> </w:t>
            </w:r>
          </w:p>
        </w:tc>
      </w:tr>
      <w:tr>
        <w:trPr/>
        <w:tc>
          <w:tcPr>
            <w:tcW w:w="3293" w:type="dxa"/>
            <w:tcBorders/>
            <w:shd w:fill="CCEEFF" w:val="clear"/>
            <w:vAlign w:val="center"/>
          </w:tcPr>
          <w:p>
            <w:pPr>
              <w:pStyle w:val="TableContents"/>
              <w:bidi w:val="0"/>
              <w:spacing w:before="0" w:after="0"/>
              <w:jc w:val="left"/>
              <w:rPr>
                <w:rFonts w:ascii="Times New Roman" w:hAnsi="Times New Roman"/>
                <w:b/>
                <w:i/>
                <w:sz w:val="17"/>
              </w:rPr>
            </w:pPr>
            <w:r>
              <w:rPr>
                <w:rFonts w:ascii="Times New Roman" w:hAnsi="Times New Roman"/>
                <w:b/>
                <w:i/>
                <w:sz w:val="17"/>
              </w:rPr>
              <w:t>Offering Price</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sz w:val="4"/>
                <w:szCs w:val="4"/>
              </w:rPr>
            </w:pPr>
            <w:r>
              <w:rPr>
                <w:sz w:val="4"/>
                <w:szCs w:val="4"/>
              </w:rPr>
            </w:r>
          </w:p>
        </w:tc>
        <w:tc>
          <w:tcPr>
            <w:tcW w:w="1134"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30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319" w:type="dxa"/>
            <w:tcBorders/>
            <w:shd w:fill="CCEEFF" w:val="clear"/>
            <w:vAlign w:val="center"/>
          </w:tcPr>
          <w:p>
            <w:pPr>
              <w:pStyle w:val="TableContents"/>
              <w:bidi w:val="0"/>
              <w:spacing w:before="0" w:after="283"/>
              <w:jc w:val="left"/>
              <w:rPr>
                <w:sz w:val="4"/>
                <w:szCs w:val="4"/>
              </w:rPr>
            </w:pPr>
            <w:r>
              <w:rPr>
                <w:sz w:val="4"/>
                <w:szCs w:val="4"/>
              </w:rPr>
            </w:r>
          </w:p>
        </w:tc>
      </w:tr>
      <w:tr>
        <w:trPr/>
        <w:tc>
          <w:tcPr>
            <w:tcW w:w="3293"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Price per Share to Public</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8.42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— </w:t>
            </w:r>
          </w:p>
        </w:tc>
        <w:tc>
          <w:tcPr>
            <w:tcW w:w="3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8.42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— </w:t>
            </w:r>
          </w:p>
        </w:tc>
        <w:tc>
          <w:tcPr>
            <w:tcW w:w="319" w:type="dxa"/>
            <w:tcBorders/>
            <w:vAlign w:val="center"/>
          </w:tcPr>
          <w:p>
            <w:pPr>
              <w:pStyle w:val="TableContents"/>
              <w:bidi w:val="0"/>
              <w:spacing w:before="0" w:after="283"/>
              <w:jc w:val="left"/>
              <w:rPr/>
            </w:pPr>
            <w:r>
              <w:rPr/>
              <w:t> </w:t>
            </w:r>
          </w:p>
        </w:tc>
      </w:tr>
      <w:tr>
        <w:trPr/>
        <w:tc>
          <w:tcPr>
            <w:tcW w:w="3293"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Net Proceeds per Share to Issuer</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8.00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3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8.00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319" w:type="dxa"/>
            <w:tcBorders/>
            <w:shd w:fill="CCEEFF" w:val="clear"/>
            <w:vAlign w:val="center"/>
          </w:tcPr>
          <w:p>
            <w:pPr>
              <w:pStyle w:val="TableContents"/>
              <w:bidi w:val="0"/>
              <w:spacing w:before="0" w:after="283"/>
              <w:jc w:val="left"/>
              <w:rPr/>
            </w:pPr>
            <w:r>
              <w:rPr/>
              <w:t> </w:t>
            </w:r>
          </w:p>
        </w:tc>
      </w:tr>
      <w:tr>
        <w:trPr/>
        <w:tc>
          <w:tcPr>
            <w:tcW w:w="3293" w:type="dxa"/>
            <w:tcBorders/>
            <w:vAlign w:val="center"/>
          </w:tcPr>
          <w:p>
            <w:pPr>
              <w:pStyle w:val="TableContents"/>
              <w:bidi w:val="0"/>
              <w:spacing w:before="0" w:after="0"/>
              <w:jc w:val="left"/>
              <w:rPr>
                <w:rFonts w:ascii="Times New Roman" w:hAnsi="Times New Roman"/>
                <w:b/>
                <w:i/>
                <w:sz w:val="17"/>
              </w:rPr>
            </w:pPr>
            <w:r>
              <w:rPr>
                <w:rFonts w:ascii="Times New Roman" w:hAnsi="Times New Roman"/>
                <w:b/>
                <w:i/>
                <w:sz w:val="17"/>
              </w:rPr>
              <w:t>Increase (Decrease) to NAV</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3293"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Total Shares Outstanding</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1,000,000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1,200,000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20.00</w:t>
            </w:r>
          </w:p>
        </w:tc>
        <w:tc>
          <w:tcPr>
            <w:tcW w:w="3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1,200,000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20.00</w:t>
            </w:r>
          </w:p>
        </w:tc>
        <w:tc>
          <w:tcPr>
            <w:tcW w:w="319" w:type="dxa"/>
            <w:tcBorders/>
            <w:shd w:fill="CCEEFF" w:val="clear"/>
            <w:vAlign w:val="center"/>
          </w:tcPr>
          <w:p>
            <w:pPr>
              <w:pStyle w:val="TableContents"/>
              <w:bidi w:val="0"/>
              <w:spacing w:before="0" w:after="283"/>
              <w:jc w:val="left"/>
              <w:rPr/>
            </w:pPr>
            <w:r>
              <w:rPr/>
              <w:t>% </w:t>
            </w:r>
          </w:p>
        </w:tc>
      </w:tr>
      <w:tr>
        <w:trPr/>
        <w:tc>
          <w:tcPr>
            <w:tcW w:w="3293"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NAV per Share</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w:t>
            </w:r>
          </w:p>
        </w:tc>
        <w:tc>
          <w:tcPr>
            <w:tcW w:w="1134" w:type="dxa"/>
            <w:tcBorders/>
            <w:vAlign w:val="center"/>
          </w:tcPr>
          <w:p>
            <w:pPr>
              <w:pStyle w:val="TableContents"/>
              <w:bidi w:val="0"/>
              <w:spacing w:before="0" w:after="283"/>
              <w:jc w:val="right"/>
              <w:rPr/>
            </w:pPr>
            <w:r>
              <w:rPr/>
              <w:t>10.00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9.67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(3.33</w:t>
            </w:r>
          </w:p>
        </w:tc>
        <w:tc>
          <w:tcPr>
            <w:tcW w:w="3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9.67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(3.33</w:t>
            </w:r>
          </w:p>
        </w:tc>
        <w:tc>
          <w:tcPr>
            <w:tcW w:w="319" w:type="dxa"/>
            <w:tcBorders/>
            <w:vAlign w:val="center"/>
          </w:tcPr>
          <w:p>
            <w:pPr>
              <w:pStyle w:val="TableContents"/>
              <w:bidi w:val="0"/>
              <w:spacing w:before="0" w:after="283"/>
              <w:jc w:val="left"/>
              <w:rPr/>
            </w:pPr>
            <w:r>
              <w:rPr/>
              <w:t>)% </w:t>
            </w:r>
          </w:p>
        </w:tc>
      </w:tr>
      <w:tr>
        <w:trPr/>
        <w:tc>
          <w:tcPr>
            <w:tcW w:w="3293" w:type="dxa"/>
            <w:tcBorders/>
            <w:shd w:fill="CCEEFF" w:val="clear"/>
            <w:vAlign w:val="center"/>
          </w:tcPr>
          <w:p>
            <w:pPr>
              <w:pStyle w:val="TableContents"/>
              <w:bidi w:val="0"/>
              <w:spacing w:before="0" w:after="0"/>
              <w:jc w:val="left"/>
              <w:rPr>
                <w:rFonts w:ascii="Times New Roman" w:hAnsi="Times New Roman"/>
                <w:b/>
                <w:i/>
                <w:sz w:val="17"/>
              </w:rPr>
            </w:pPr>
            <w:r>
              <w:rPr>
                <w:rFonts w:ascii="Times New Roman" w:hAnsi="Times New Roman"/>
                <w:b/>
                <w:i/>
                <w:sz w:val="17"/>
              </w:rPr>
              <w:t>(Dilution) Accretion to Stockholder</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sz w:val="4"/>
                <w:szCs w:val="4"/>
              </w:rPr>
            </w:pPr>
            <w:r>
              <w:rPr>
                <w:sz w:val="4"/>
                <w:szCs w:val="4"/>
              </w:rPr>
            </w:r>
          </w:p>
        </w:tc>
        <w:tc>
          <w:tcPr>
            <w:tcW w:w="1134"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30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319" w:type="dxa"/>
            <w:tcBorders/>
            <w:shd w:fill="CCEEFF" w:val="clear"/>
            <w:vAlign w:val="center"/>
          </w:tcPr>
          <w:p>
            <w:pPr>
              <w:pStyle w:val="TableContents"/>
              <w:bidi w:val="0"/>
              <w:spacing w:before="0" w:after="283"/>
              <w:jc w:val="left"/>
              <w:rPr>
                <w:sz w:val="4"/>
                <w:szCs w:val="4"/>
              </w:rPr>
            </w:pPr>
            <w:r>
              <w:rPr>
                <w:sz w:val="4"/>
                <w:szCs w:val="4"/>
              </w:rPr>
            </w:r>
          </w:p>
        </w:tc>
      </w:tr>
      <w:tr>
        <w:trPr/>
        <w:tc>
          <w:tcPr>
            <w:tcW w:w="3293"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Shares Held by Stockholder A</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right"/>
              <w:rPr/>
            </w:pPr>
            <w:r>
              <w:rPr/>
              <w:t>10,000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10.00</w:t>
            </w:r>
          </w:p>
        </w:tc>
        <w:tc>
          <w:tcPr>
            <w:tcW w:w="3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30.00</w:t>
            </w:r>
          </w:p>
        </w:tc>
        <w:tc>
          <w:tcPr>
            <w:tcW w:w="319" w:type="dxa"/>
            <w:tcBorders/>
            <w:vAlign w:val="center"/>
          </w:tcPr>
          <w:p>
            <w:pPr>
              <w:pStyle w:val="TableContents"/>
              <w:bidi w:val="0"/>
              <w:spacing w:before="0" w:after="283"/>
              <w:jc w:val="left"/>
              <w:rPr/>
            </w:pPr>
            <w:r>
              <w:rPr/>
              <w:t> </w:t>
            </w:r>
          </w:p>
        </w:tc>
      </w:tr>
      <w:tr>
        <w:trPr/>
        <w:tc>
          <w:tcPr>
            <w:tcW w:w="3293"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Percentage Held by Stockholder A</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1.0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0.92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(8.33</w:t>
            </w:r>
          </w:p>
        </w:tc>
        <w:tc>
          <w:tcPr>
            <w:tcW w:w="3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8.33</w:t>
            </w:r>
          </w:p>
        </w:tc>
        <w:tc>
          <w:tcPr>
            <w:tcW w:w="319" w:type="dxa"/>
            <w:tcBorders/>
            <w:shd w:fill="CCEEFF" w:val="clear"/>
            <w:vAlign w:val="center"/>
          </w:tcPr>
          <w:p>
            <w:pPr>
              <w:pStyle w:val="TableContents"/>
              <w:bidi w:val="0"/>
              <w:spacing w:before="0" w:after="283"/>
              <w:jc w:val="left"/>
              <w:rPr/>
            </w:pPr>
            <w:r>
              <w:rPr/>
              <w:t>% </w:t>
            </w:r>
          </w:p>
        </w:tc>
      </w:tr>
      <w:tr>
        <w:trPr/>
        <w:tc>
          <w:tcPr>
            <w:tcW w:w="3293" w:type="dxa"/>
            <w:tcBorders/>
            <w:vAlign w:val="center"/>
          </w:tcPr>
          <w:p>
            <w:pPr>
              <w:pStyle w:val="TableContents"/>
              <w:bidi w:val="0"/>
              <w:spacing w:before="0" w:after="0"/>
              <w:jc w:val="left"/>
              <w:rPr>
                <w:rFonts w:ascii="Times New Roman" w:hAnsi="Times New Roman"/>
                <w:b/>
                <w:sz w:val="17"/>
              </w:rPr>
            </w:pPr>
            <w:r>
              <w:rPr>
                <w:rFonts w:ascii="Times New Roman" w:hAnsi="Times New Roman"/>
                <w:b/>
                <w:sz w:val="17"/>
              </w:rPr>
              <w:t>Total Asset Values</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3293"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Total NAV Held by Stockholder A</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1134" w:type="dxa"/>
            <w:tcBorders/>
            <w:shd w:fill="CCEEFF" w:val="clear"/>
            <w:vAlign w:val="center"/>
          </w:tcPr>
          <w:p>
            <w:pPr>
              <w:pStyle w:val="TableContents"/>
              <w:bidi w:val="0"/>
              <w:spacing w:before="0" w:after="283"/>
              <w:jc w:val="right"/>
              <w:rPr/>
            </w:pPr>
            <w:r>
              <w:rPr/>
              <w:t>100,000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106,333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6.33</w:t>
            </w:r>
          </w:p>
        </w:tc>
        <w:tc>
          <w:tcPr>
            <w:tcW w:w="3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125,667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25.67</w:t>
            </w:r>
          </w:p>
        </w:tc>
        <w:tc>
          <w:tcPr>
            <w:tcW w:w="319" w:type="dxa"/>
            <w:tcBorders/>
            <w:shd w:fill="CCEEFF" w:val="clear"/>
            <w:vAlign w:val="center"/>
          </w:tcPr>
          <w:p>
            <w:pPr>
              <w:pStyle w:val="TableContents"/>
              <w:bidi w:val="0"/>
              <w:spacing w:before="0" w:after="283"/>
              <w:jc w:val="left"/>
              <w:rPr/>
            </w:pPr>
            <w:r>
              <w:rPr/>
              <w:t>% </w:t>
            </w:r>
          </w:p>
        </w:tc>
      </w:tr>
      <w:tr>
        <w:trPr/>
        <w:tc>
          <w:tcPr>
            <w:tcW w:w="3293"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Total Investment by Stockholder A (Assumed to Be $10.00 per Share)</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w:t>
            </w:r>
          </w:p>
        </w:tc>
        <w:tc>
          <w:tcPr>
            <w:tcW w:w="1134" w:type="dxa"/>
            <w:tcBorders/>
            <w:vAlign w:val="center"/>
          </w:tcPr>
          <w:p>
            <w:pPr>
              <w:pStyle w:val="TableContents"/>
              <w:bidi w:val="0"/>
              <w:spacing w:before="0" w:after="283"/>
              <w:jc w:val="right"/>
              <w:rPr/>
            </w:pPr>
            <w:r>
              <w:rPr/>
              <w:t>100,000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108,421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— </w:t>
            </w:r>
          </w:p>
        </w:tc>
        <w:tc>
          <w:tcPr>
            <w:tcW w:w="3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125,263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— </w:t>
            </w:r>
          </w:p>
        </w:tc>
        <w:tc>
          <w:tcPr>
            <w:tcW w:w="319" w:type="dxa"/>
            <w:tcBorders/>
            <w:vAlign w:val="center"/>
          </w:tcPr>
          <w:p>
            <w:pPr>
              <w:pStyle w:val="TableContents"/>
              <w:bidi w:val="0"/>
              <w:spacing w:before="0" w:after="283"/>
              <w:jc w:val="left"/>
              <w:rPr/>
            </w:pPr>
            <w:r>
              <w:rPr/>
              <w:t> </w:t>
            </w:r>
          </w:p>
        </w:tc>
      </w:tr>
      <w:tr>
        <w:trPr/>
        <w:tc>
          <w:tcPr>
            <w:tcW w:w="3293"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Total (Dilution) Accretion to Stockholder A (Total NAV Less Total Investment)</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(2,088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3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404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319" w:type="dxa"/>
            <w:tcBorders/>
            <w:shd w:fill="CCEEFF" w:val="clear"/>
            <w:vAlign w:val="center"/>
          </w:tcPr>
          <w:p>
            <w:pPr>
              <w:pStyle w:val="TableContents"/>
              <w:bidi w:val="0"/>
              <w:spacing w:before="0" w:after="283"/>
              <w:jc w:val="left"/>
              <w:rPr/>
            </w:pPr>
            <w:r>
              <w:rPr/>
              <w:t> </w:t>
            </w:r>
          </w:p>
        </w:tc>
      </w:tr>
      <w:tr>
        <w:trPr/>
        <w:tc>
          <w:tcPr>
            <w:tcW w:w="3293" w:type="dxa"/>
            <w:tcBorders/>
            <w:vAlign w:val="center"/>
          </w:tcPr>
          <w:p>
            <w:pPr>
              <w:pStyle w:val="TableContents"/>
              <w:bidi w:val="0"/>
              <w:spacing w:before="0" w:after="0"/>
              <w:jc w:val="left"/>
              <w:rPr>
                <w:rFonts w:ascii="Times New Roman" w:hAnsi="Times New Roman"/>
                <w:b/>
                <w:sz w:val="17"/>
              </w:rPr>
            </w:pPr>
            <w:r>
              <w:rPr>
                <w:rFonts w:ascii="Times New Roman" w:hAnsi="Times New Roman"/>
                <w:b/>
                <w:sz w:val="17"/>
              </w:rPr>
              <w:t>Per Share Amounts</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3293"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NAV per Share Held by Stockholder A</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9.67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3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9.67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319" w:type="dxa"/>
            <w:tcBorders/>
            <w:shd w:fill="CCEEFF" w:val="clear"/>
            <w:vAlign w:val="center"/>
          </w:tcPr>
          <w:p>
            <w:pPr>
              <w:pStyle w:val="TableContents"/>
              <w:bidi w:val="0"/>
              <w:spacing w:before="0" w:after="283"/>
              <w:jc w:val="left"/>
              <w:rPr/>
            </w:pPr>
            <w:r>
              <w:rPr/>
              <w:t> </w:t>
            </w:r>
          </w:p>
        </w:tc>
      </w:tr>
      <w:tr>
        <w:trPr/>
        <w:tc>
          <w:tcPr>
            <w:tcW w:w="3293"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Investment per Share Held by Stockholder A (Assumed to be $10.00 per Share)</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w:t>
            </w:r>
          </w:p>
        </w:tc>
        <w:tc>
          <w:tcPr>
            <w:tcW w:w="1134" w:type="dxa"/>
            <w:tcBorders/>
            <w:vAlign w:val="center"/>
          </w:tcPr>
          <w:p>
            <w:pPr>
              <w:pStyle w:val="TableContents"/>
              <w:bidi w:val="0"/>
              <w:spacing w:before="0" w:after="283"/>
              <w:jc w:val="right"/>
              <w:rPr/>
            </w:pPr>
            <w:r>
              <w:rPr/>
              <w:t>10.00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9.86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— </w:t>
            </w:r>
          </w:p>
        </w:tc>
        <w:tc>
          <w:tcPr>
            <w:tcW w:w="3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9.64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— </w:t>
            </w:r>
          </w:p>
        </w:tc>
        <w:tc>
          <w:tcPr>
            <w:tcW w:w="319" w:type="dxa"/>
            <w:tcBorders/>
            <w:vAlign w:val="center"/>
          </w:tcPr>
          <w:p>
            <w:pPr>
              <w:pStyle w:val="TableContents"/>
              <w:bidi w:val="0"/>
              <w:spacing w:before="0" w:after="283"/>
              <w:jc w:val="left"/>
              <w:rPr/>
            </w:pPr>
            <w:r>
              <w:rPr/>
              <w:t> </w:t>
            </w:r>
          </w:p>
        </w:tc>
      </w:tr>
      <w:tr>
        <w:trPr/>
        <w:tc>
          <w:tcPr>
            <w:tcW w:w="3293"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(Dilution) Accretion per Share Held by Stockholder A (NAV per Share Less Investment per Share)</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(0.19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3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0.03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319" w:type="dxa"/>
            <w:tcBorders/>
            <w:shd w:fill="CCEEFF" w:val="clear"/>
            <w:vAlign w:val="center"/>
          </w:tcPr>
          <w:p>
            <w:pPr>
              <w:pStyle w:val="TableContents"/>
              <w:bidi w:val="0"/>
              <w:spacing w:before="0" w:after="283"/>
              <w:jc w:val="left"/>
              <w:rPr/>
            </w:pPr>
            <w:r>
              <w:rPr/>
              <w:t> </w:t>
            </w:r>
          </w:p>
        </w:tc>
      </w:tr>
      <w:tr>
        <w:trPr/>
        <w:tc>
          <w:tcPr>
            <w:tcW w:w="3293"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Percentage (Dilution) Accretion to Stockholder A (Dilution per Share Divided by Investment per Share)</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(1.93</w:t>
            </w:r>
          </w:p>
        </w:tc>
        <w:tc>
          <w:tcPr>
            <w:tcW w:w="3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0.32</w:t>
            </w:r>
          </w:p>
        </w:tc>
        <w:tc>
          <w:tcPr>
            <w:tcW w:w="31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Impact on New Investors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Investors who are not currently stockholders and who participate in an offering of our common stock below net asset value but whose investment per share is greater than the resulting net asset value per share due to selling compensation and expenses paid by the issuer will experience an immediate decrease, albeit small, in the net asset value of their shares of common stock and their net asset value per share compared to the price they pay for their shares of common stock. Investors who are not currently stockholders and who participate in an offering below net asset value per share and whose investment per share is also less than the resulting net asset value per share due to selling compensation and expenses paid by the issuer being significantly less than the discount per share will experience an immediate increase in the net asset value of their shares of common stock and their net asset value per share compared to the price they pay for their shares of common stock. These investors will experience a disproportionately greater participation in our earnings and assets and their voting power than our increase in assets, potential earning power and voting interests. These investors will, however, be subject to the risk that we may make additional discounted offerings in which such new stockholder does not participate, in which case such new stockholder will experience dilution as described above in such subsequent offerings. These investors may also experience a decline in the market price of their shares of common stock, which often reflects to some degree announced or potential increases and decreases in net asset value per share. This decrease could be more pronounced as the size of the offering and level of discounts increases.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illustrates the level of dilution or accretion for new investors that would be experienced by a new investor in the same hypothetical 5.0%, 10.0% and 20.0% discounted offerings as described in the first table above. The illustration is for a new investor who purchases the same percentage (1.0%) of the shares in the offering as Stockholder A in the prior examples held immediately prior to the offering. The prospectus supplement pursuant to which any discounted offering is made will include a table for these examples based on the actual number of shares in such offering and the actual discount from the most recently determined net asset value per share. It is not possible to predict the level of market price decline that may occur. Actual sales prices and discounts may differ from the presentation below. </w:t>
      </w:r>
    </w:p>
    <w:p>
      <w:pPr>
        <w:pStyle w:val="TextBody"/>
        <w:bidi w:val="0"/>
        <w:spacing w:before="0" w:after="0"/>
        <w:jc w:val="left"/>
        <w:rPr/>
      </w:pPr>
      <w:r>
        <w:rPr/>
        <w:t> </w:t>
      </w:r>
    </w:p>
    <w:tbl>
      <w:tblPr>
        <w:tblW w:w="10335" w:type="dxa"/>
        <w:jc w:val="left"/>
        <w:tblInd w:w="0" w:type="dxa"/>
        <w:tblLayout w:type="fixed"/>
        <w:tblCellMar>
          <w:top w:w="0" w:type="dxa"/>
          <w:left w:w="0" w:type="dxa"/>
          <w:bottom w:w="0" w:type="dxa"/>
          <w:right w:w="0" w:type="dxa"/>
        </w:tblCellMar>
      </w:tblPr>
      <w:tblGrid>
        <w:gridCol w:w="875"/>
        <w:gridCol w:w="60"/>
        <w:gridCol w:w="161"/>
        <w:gridCol w:w="1134"/>
        <w:gridCol w:w="275"/>
        <w:gridCol w:w="60"/>
        <w:gridCol w:w="140"/>
        <w:gridCol w:w="980"/>
        <w:gridCol w:w="275"/>
        <w:gridCol w:w="60"/>
        <w:gridCol w:w="85"/>
        <w:gridCol w:w="730"/>
        <w:gridCol w:w="275"/>
        <w:gridCol w:w="60"/>
        <w:gridCol w:w="140"/>
        <w:gridCol w:w="980"/>
        <w:gridCol w:w="275"/>
        <w:gridCol w:w="60"/>
        <w:gridCol w:w="78"/>
        <w:gridCol w:w="737"/>
        <w:gridCol w:w="275"/>
        <w:gridCol w:w="60"/>
        <w:gridCol w:w="140"/>
        <w:gridCol w:w="980"/>
        <w:gridCol w:w="275"/>
        <w:gridCol w:w="60"/>
        <w:gridCol w:w="78"/>
        <w:gridCol w:w="737"/>
        <w:gridCol w:w="290"/>
      </w:tblGrid>
      <w:tr>
        <w:trPr/>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0" w:type="dxa"/>
            <w:gridSpan w:val="6"/>
            <w:tcBorders>
              <w:bottom w:val="single" w:sz="8" w:space="0" w:color="000000"/>
            </w:tcBorders>
            <w:tcMar>
              <w:bottom w:w="28" w:type="dxa"/>
            </w:tcMar>
            <w:vAlign w:val="center"/>
          </w:tcPr>
          <w:p>
            <w:pPr>
              <w:pStyle w:val="TableContents"/>
              <w:bidi w:val="0"/>
              <w:spacing w:before="0" w:after="283"/>
              <w:jc w:val="center"/>
              <w:rPr/>
            </w:pPr>
            <w:r>
              <w:rPr>
                <w:b/>
              </w:rPr>
              <w:t>Example 1</w:t>
            </w:r>
            <w:r>
              <w:rPr/>
              <w:br/>
            </w:r>
            <w:r>
              <w:rPr>
                <w:b/>
              </w:rPr>
              <w:t>5.0% Offering</w:t>
            </w:r>
            <w:r>
              <w:rPr/>
              <w:br/>
            </w:r>
            <w:r>
              <w:rPr>
                <w:b/>
              </w:rPr>
              <w:t>At 5.0% Discount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0" w:type="dxa"/>
            <w:gridSpan w:val="6"/>
            <w:tcBorders>
              <w:bottom w:val="single" w:sz="8" w:space="0" w:color="000000"/>
            </w:tcBorders>
            <w:tcMar>
              <w:bottom w:w="28" w:type="dxa"/>
            </w:tcMar>
            <w:vAlign w:val="center"/>
          </w:tcPr>
          <w:p>
            <w:pPr>
              <w:pStyle w:val="TableContents"/>
              <w:bidi w:val="0"/>
              <w:spacing w:before="0" w:after="283"/>
              <w:jc w:val="center"/>
              <w:rPr/>
            </w:pPr>
            <w:r>
              <w:rPr>
                <w:b/>
              </w:rPr>
              <w:t>Example 2</w:t>
            </w:r>
            <w:r>
              <w:rPr/>
              <w:br/>
            </w:r>
            <w:r>
              <w:rPr>
                <w:b/>
              </w:rPr>
              <w:t>10.0% Offering</w:t>
            </w:r>
            <w:r>
              <w:rPr/>
              <w:br/>
            </w:r>
            <w:r>
              <w:rPr>
                <w:b/>
              </w:rPr>
              <w:t>At 10.0% Discount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0" w:type="dxa"/>
            <w:gridSpan w:val="6"/>
            <w:tcBorders>
              <w:bottom w:val="single" w:sz="8" w:space="0" w:color="000000"/>
            </w:tcBorders>
            <w:tcMar>
              <w:bottom w:w="28" w:type="dxa"/>
            </w:tcMar>
            <w:vAlign w:val="center"/>
          </w:tcPr>
          <w:p>
            <w:pPr>
              <w:pStyle w:val="TableContents"/>
              <w:bidi w:val="0"/>
              <w:spacing w:before="0" w:after="283"/>
              <w:jc w:val="center"/>
              <w:rPr/>
            </w:pPr>
            <w:r>
              <w:rPr>
                <w:b/>
              </w:rPr>
              <w:t>Example 3</w:t>
            </w:r>
            <w:r>
              <w:rPr/>
              <w:br/>
            </w:r>
            <w:r>
              <w:rPr>
                <w:b/>
              </w:rPr>
              <w:t>20.0% Offering</w:t>
            </w:r>
            <w:r>
              <w:rPr/>
              <w:br/>
            </w:r>
            <w:r>
              <w:rPr>
                <w:b/>
              </w:rPr>
              <w:t>At 20.0% Discount</w:t>
            </w:r>
          </w:p>
        </w:tc>
        <w:tc>
          <w:tcPr>
            <w:tcW w:w="290" w:type="dxa"/>
            <w:tcBorders/>
            <w:vAlign w:val="center"/>
          </w:tcPr>
          <w:p>
            <w:pPr>
              <w:pStyle w:val="TableContents"/>
              <w:bidi w:val="0"/>
              <w:spacing w:before="0" w:after="283"/>
              <w:jc w:val="left"/>
              <w:rPr/>
            </w:pPr>
            <w:r>
              <w:rPr/>
              <w:t> </w:t>
            </w:r>
          </w:p>
        </w:tc>
      </w:tr>
      <w:tr>
        <w:trPr/>
        <w:tc>
          <w:tcPr>
            <w:tcW w:w="87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Period</w:t>
            </w:r>
          </w:p>
        </w:tc>
        <w:tc>
          <w:tcPr>
            <w:tcW w:w="6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pPr>
            <w:r>
              <w:rPr>
                <w:b/>
              </w:rPr>
              <w:t>Prior to Sale</w:t>
            </w:r>
            <w:r>
              <w:rPr/>
              <w:br/>
            </w:r>
            <w:r>
              <w:rPr>
                <w:b/>
              </w:rPr>
              <w:t>Below NAV</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Following</w:t>
              <w:br/>
              <w:t>Sale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br/>
              <w:t>Change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Following</w:t>
              <w:br/>
              <w:t>Sale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br/>
              <w:t>Change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Following</w:t>
              <w:br/>
              <w:t>Sale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br/>
              <w:t>Change</w:t>
            </w:r>
          </w:p>
        </w:tc>
        <w:tc>
          <w:tcPr>
            <w:tcW w:w="290" w:type="dxa"/>
            <w:tcBorders/>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jc w:val="left"/>
              <w:rPr>
                <w:rFonts w:ascii="Times New Roman" w:hAnsi="Times New Roman"/>
                <w:b/>
                <w:i/>
                <w:sz w:val="17"/>
              </w:rPr>
            </w:pPr>
            <w:r>
              <w:rPr>
                <w:rFonts w:ascii="Times New Roman" w:hAnsi="Times New Roman"/>
                <w:b/>
                <w:i/>
                <w:sz w:val="17"/>
              </w:rPr>
              <w:t>Offering Price</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sz w:val="4"/>
                <w:szCs w:val="4"/>
              </w:rPr>
            </w:pPr>
            <w:r>
              <w:rPr>
                <w:sz w:val="4"/>
                <w:szCs w:val="4"/>
              </w:rPr>
            </w:r>
          </w:p>
        </w:tc>
        <w:tc>
          <w:tcPr>
            <w:tcW w:w="1134"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73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Price per Share to Public</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9.47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8.42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Net Proceeds per Share to Issuer</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9.50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9.00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8.00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jc w:val="left"/>
              <w:rPr>
                <w:rFonts w:ascii="Times New Roman" w:hAnsi="Times New Roman"/>
                <w:b/>
                <w:i/>
                <w:sz w:val="17"/>
              </w:rPr>
            </w:pPr>
            <w:r>
              <w:rPr>
                <w:rFonts w:ascii="Times New Roman" w:hAnsi="Times New Roman"/>
                <w:b/>
                <w:i/>
                <w:sz w:val="17"/>
              </w:rPr>
              <w:t>(Decrease) Increase to NAV</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75"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Total Shares Outstanding</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1,000,000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1,050,000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5.00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1,100,000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10.00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1,200,000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20.00</w:t>
            </w:r>
          </w:p>
        </w:tc>
        <w:tc>
          <w:tcPr>
            <w:tcW w:w="290" w:type="dxa"/>
            <w:tcBorders/>
            <w:shd w:fill="CCEEFF" w:val="clear"/>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NAV per Share</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w:t>
            </w:r>
          </w:p>
        </w:tc>
        <w:tc>
          <w:tcPr>
            <w:tcW w:w="1134" w:type="dxa"/>
            <w:tcBorders/>
            <w:vAlign w:val="center"/>
          </w:tcPr>
          <w:p>
            <w:pPr>
              <w:pStyle w:val="TableContents"/>
              <w:bidi w:val="0"/>
              <w:spacing w:before="0" w:after="283"/>
              <w:jc w:val="right"/>
              <w:rPr/>
            </w:pPr>
            <w:r>
              <w:rPr/>
              <w:t>10.00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9.98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pPr>
            <w:r>
              <w:rPr/>
              <w:t>(0.24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9.91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(0.91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9.67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(3.33</w:t>
            </w:r>
          </w:p>
        </w:tc>
        <w:tc>
          <w:tcPr>
            <w:tcW w:w="290" w:type="dxa"/>
            <w:tcBorders/>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jc w:val="left"/>
              <w:rPr>
                <w:rFonts w:ascii="Times New Roman" w:hAnsi="Times New Roman"/>
                <w:b/>
                <w:i/>
                <w:sz w:val="17"/>
              </w:rPr>
            </w:pPr>
            <w:r>
              <w:rPr>
                <w:rFonts w:ascii="Times New Roman" w:hAnsi="Times New Roman"/>
                <w:b/>
                <w:i/>
                <w:sz w:val="17"/>
              </w:rPr>
              <w:t>(Dilution) Accretion to Stockholder</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sz w:val="4"/>
                <w:szCs w:val="4"/>
              </w:rPr>
            </w:pPr>
            <w:r>
              <w:rPr>
                <w:sz w:val="4"/>
                <w:szCs w:val="4"/>
              </w:rPr>
            </w:r>
          </w:p>
        </w:tc>
        <w:tc>
          <w:tcPr>
            <w:tcW w:w="1134"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73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Shares Held by Investor A</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Percentage Held by Investor A</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0.05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0.09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0.17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jc w:val="left"/>
              <w:rPr>
                <w:rFonts w:ascii="Times New Roman" w:hAnsi="Times New Roman"/>
                <w:b/>
                <w:sz w:val="17"/>
              </w:rPr>
            </w:pPr>
            <w:r>
              <w:rPr>
                <w:rFonts w:ascii="Times New Roman" w:hAnsi="Times New Roman"/>
                <w:b/>
                <w:sz w:val="17"/>
              </w:rPr>
              <w:t>Total Asset Values</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75"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Total NAV Held by Investor A</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1134"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4,988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9,909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19,333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Total Investment by Investor A (At Price to Public)</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w:t>
            </w:r>
          </w:p>
        </w:tc>
        <w:tc>
          <w:tcPr>
            <w:tcW w:w="1134"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5,000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9,474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16,842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Total (Dilution) Accretion to Investor A (Total NAV Less Total Investment)</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435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2,491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jc w:val="left"/>
              <w:rPr>
                <w:rFonts w:ascii="Times New Roman" w:hAnsi="Times New Roman"/>
                <w:b/>
                <w:sz w:val="17"/>
              </w:rPr>
            </w:pPr>
            <w:r>
              <w:rPr>
                <w:rFonts w:ascii="Times New Roman" w:hAnsi="Times New Roman"/>
                <w:b/>
                <w:sz w:val="17"/>
              </w:rPr>
              <w:t>Per Share Amounts</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75"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NAV per Share Held by Investor A</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9.98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9.91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9.67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Investment per Share Held by Investor A</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w:t>
            </w:r>
          </w:p>
        </w:tc>
        <w:tc>
          <w:tcPr>
            <w:tcW w:w="1134"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9.47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8.42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(Dilution) Accretion per Share Held by Investor A (NAV per Share Less Investment per Share)</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(0.02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0.44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1.25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Percentage (Dilution) Accretion to Investor A (Dilution per Share Divided by Investment per Share)</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pPr>
            <w:r>
              <w:rPr/>
              <w:t>(0.24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4.60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14.79</w:t>
            </w:r>
          </w:p>
        </w:tc>
        <w:tc>
          <w:tcPr>
            <w:tcW w:w="29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20" w:name="toc29698_19"/>
      <w:bookmarkEnd w:id="20"/>
      <w:r>
        <w:rPr>
          <w:rFonts w:ascii="Times New Roman" w:hAnsi="Times New Roman"/>
          <w:b/>
          <w:sz w:val="20"/>
        </w:rPr>
        <w:t xml:space="preserve">DIVIDEND REINVESTMENT PLAN </w:t>
      </w:r>
    </w:p>
    <w:p>
      <w:pPr>
        <w:pStyle w:val="TextBody"/>
        <w:bidi w:val="0"/>
        <w:spacing w:before="240" w:after="0"/>
        <w:jc w:val="left"/>
        <w:rPr>
          <w:rFonts w:ascii="Times New Roman" w:hAnsi="Times New Roman"/>
          <w:sz w:val="20"/>
        </w:rPr>
      </w:pPr>
      <w:r>
        <w:rPr>
          <w:rFonts w:ascii="Times New Roman" w:hAnsi="Times New Roman"/>
          <w:sz w:val="20"/>
        </w:rPr>
        <w:t xml:space="preserve">We have adopted a dividend reinvestment plan that provides for reinvestment of our distributions on behalf of our stockholders, unless a stockholder elects to receive cash as provided below. As a result, if our board of directors authorizes, and we declare, a cash distribution, then our stockholders who have not “opted out” of our dividend reinvestment plan will have their cash distribution automatically reinvested in additional shares of our common stock, rather than receiving the cash distribution. </w:t>
      </w:r>
    </w:p>
    <w:p>
      <w:pPr>
        <w:pStyle w:val="TextBody"/>
        <w:bidi w:val="0"/>
        <w:spacing w:before="240" w:after="0"/>
        <w:jc w:val="left"/>
        <w:rPr>
          <w:rFonts w:ascii="Times New Roman" w:hAnsi="Times New Roman"/>
          <w:sz w:val="20"/>
        </w:rPr>
      </w:pPr>
      <w:r>
        <w:rPr>
          <w:rFonts w:ascii="Times New Roman" w:hAnsi="Times New Roman"/>
          <w:sz w:val="20"/>
        </w:rPr>
        <w:t xml:space="preserve">No action is required on the part of a registered stockholder to have their cash distribution reinvested in shares of our common stock. A registered stockholder may elect to receive an entire distribution in cash by notifying Equiniti Trust Company, LLC, the plan administrator and our transfer agent and registrar, in writing so that such notice is received by the plan administrator no later than three days prior to the payment date for distributions to stockholders. The plan administrator will set up an account for shares acquired through the plan for each stockholder who has not elected to receive distributions in cash and hold such shares in non-certificated form. Upon request by a stockholder participating in the plan, received in writing not less than three days prior to the payment date, the plan administrator will, instead of crediting shares to and/or carrying shares in the participant’s account, issue a certificate registered in the participant’s name for the number of whole shares of our common stock and a check for any fractional share. </w:t>
      </w:r>
    </w:p>
    <w:p>
      <w:pPr>
        <w:pStyle w:val="TextBody"/>
        <w:bidi w:val="0"/>
        <w:spacing w:before="240" w:after="0"/>
        <w:jc w:val="left"/>
        <w:rPr>
          <w:rFonts w:ascii="Times New Roman" w:hAnsi="Times New Roman"/>
          <w:sz w:val="20"/>
        </w:rPr>
      </w:pPr>
      <w:r>
        <w:rPr>
          <w:rFonts w:ascii="Times New Roman" w:hAnsi="Times New Roman"/>
          <w:sz w:val="20"/>
        </w:rPr>
        <w:t xml:space="preserve">Those stockholders whose shares are held by a broker or other financial intermediary may receive distributions in cash by notifying their broker or other financial intermediary of their election.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primarily newly issued shares to implement the plan, so long as our shares are trading at or above net asset value. If our shares are trading below net asset value, we intend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the Nasdaq Global Select Market on the valuation date fixed for such distribution. Market price per share on that date will be the closing price for such shares on the Nasdaq Global Select Market or, if no sale is reported for such day, at the average of their reported bid and asked prices. The number of shares of our common stock to be outstanding after giving effect to payment of the distribution cannot be established until the value per share at which additional shares will be issued has been determined and elections of our stockholders have been tabulated. </w:t>
      </w:r>
    </w:p>
    <w:p>
      <w:pPr>
        <w:pStyle w:val="TextBody"/>
        <w:bidi w:val="0"/>
        <w:spacing w:before="240" w:after="0"/>
        <w:jc w:val="left"/>
        <w:rPr>
          <w:rFonts w:ascii="Times New Roman" w:hAnsi="Times New Roman"/>
          <w:sz w:val="20"/>
        </w:rPr>
      </w:pPr>
      <w:r>
        <w:rPr>
          <w:rFonts w:ascii="Times New Roman" w:hAnsi="Times New Roman"/>
          <w:sz w:val="20"/>
        </w:rPr>
        <w:t xml:space="preserve">There will be no brokerage charges or other charges to stockholders who participate in the plan. 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 from the proceeds. </w:t>
      </w:r>
    </w:p>
    <w:p>
      <w:pPr>
        <w:pStyle w:val="TextBody"/>
        <w:bidi w:val="0"/>
        <w:spacing w:before="240" w:after="0"/>
        <w:jc w:val="left"/>
        <w:rPr>
          <w:rFonts w:ascii="Times New Roman" w:hAnsi="Times New Roman"/>
          <w:sz w:val="20"/>
        </w:rPr>
      </w:pPr>
      <w:r>
        <w:rPr>
          <w:rFonts w:ascii="Times New Roman" w:hAnsi="Times New Roman"/>
          <w:sz w:val="20"/>
        </w:rPr>
        <w:t xml:space="preserve">Stockholders who receive distributions in the form of stock are subject to the same U.S. federal, state and local tax consequences as are stockholders who elect to receive their distributions in cash; however, since their cash distributions will be reinvested, such stockholders will not receive cash with which to pay any applicable taxes on reinvested distributions. A stockholder’s basis for determining gain or loss upon the sale of stock received in a distribution from us will be equal to the total dollar amount of the distribution payable to the stockholder. Any stock received in a distribution will have a new holding period for tax purposes commencing on the day following the day on which the shares are credited to the U.S. stockholder’s account. </w:t>
      </w:r>
    </w:p>
    <w:p>
      <w:pPr>
        <w:pStyle w:val="TextBody"/>
        <w:bidi w:val="0"/>
        <w:spacing w:before="240" w:after="0"/>
        <w:jc w:val="left"/>
        <w:rPr>
          <w:rFonts w:ascii="Times New Roman" w:hAnsi="Times New Roman"/>
          <w:sz w:val="20"/>
        </w:rPr>
      </w:pPr>
      <w:r>
        <w:rPr>
          <w:rFonts w:ascii="Times New Roman" w:hAnsi="Times New Roman"/>
          <w:sz w:val="20"/>
        </w:rPr>
        <w:t xml:space="preserve">Participants may terminate their accounts under the plan by notifying the plan administrator via its website at </w:t>
      </w:r>
      <w:r>
        <w:rPr>
          <w:rFonts w:ascii="Times New Roman" w:hAnsi="Times New Roman"/>
          <w:i/>
          <w:sz w:val="20"/>
        </w:rPr>
        <w:t>www.amstock.com</w:t>
      </w:r>
      <w:r>
        <w:rPr>
          <w:rFonts w:ascii="Times New Roman" w:hAnsi="Times New Roman"/>
          <w:sz w:val="20"/>
        </w:rPr>
        <w:t xml:space="preserve"> or by filling out the transaction request form located at bottom of their statement and sending it to Equiniti Trust Company, LLC, Post Office Box 922, Wall Street Station, New York, New York 10269-0560 or by calling the plan administrator’s Interactive Voice Response System at 1-877-573-4005.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plan may be terminated by us upon notice in writing mailed to each participant at least 30 days prior to any record date for the payment of any distribution by us. All correspondence concerning the plan should be directed to the plan administrator by mail or phone at the address and phone number noted above. </w:t>
      </w:r>
    </w:p>
    <w:p>
      <w:pPr>
        <w:pStyle w:val="TextBody"/>
        <w:bidi w:val="0"/>
        <w:spacing w:before="240" w:after="0"/>
        <w:jc w:val="left"/>
        <w:rPr>
          <w:rFonts w:ascii="Times New Roman" w:hAnsi="Times New Roman"/>
          <w:sz w:val="20"/>
        </w:rPr>
      </w:pPr>
      <w:r>
        <w:rPr>
          <w:rFonts w:ascii="Times New Roman" w:hAnsi="Times New Roman"/>
          <w:sz w:val="20"/>
        </w:rPr>
        <w:t xml:space="preserve">If you withdraw or the plan is terminated, you will receive the number of whole shares in your account under the plan and a cash adjustment for any fractional shares in your account. </w:t>
      </w:r>
    </w:p>
    <w:p>
      <w:pPr>
        <w:pStyle w:val="TextBody"/>
        <w:bidi w:val="0"/>
        <w:spacing w:before="240" w:after="0"/>
        <w:jc w:val="left"/>
        <w:rPr>
          <w:rFonts w:ascii="Times New Roman" w:hAnsi="Times New Roman"/>
          <w:sz w:val="20"/>
        </w:rPr>
      </w:pPr>
      <w:r>
        <w:rPr>
          <w:rFonts w:ascii="Times New Roman" w:hAnsi="Times New Roman"/>
          <w:sz w:val="20"/>
        </w:rPr>
        <w:t xml:space="preserve">If you hold your common stock with a brokerage firm that does not participate in the plan, you will not be able to participate in the plan, and any distribution reinvestment may be effected on different terms than those described above. Consult your financial advisor for more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21" w:name="toc29698_20"/>
      <w:bookmarkEnd w:id="21"/>
      <w:r>
        <w:rPr>
          <w:rFonts w:ascii="Times New Roman" w:hAnsi="Times New Roman"/>
          <w:b/>
          <w:sz w:val="20"/>
        </w:rPr>
        <w:t xml:space="preserve">CERTAIN U.S. FEDERAL INCOME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is a general summary of certain U.S. federal income tax considerations applicable to us and to an investment in shares of our common stock. This summary does not purport to be a complete description of the income tax considerations applicable to us or to investors in such an investment.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tax-exempt organizations, insurance companies, dealers in securities, pension plans and trusts, financial institutions, U.S. stockholders (as defined below) whose functional currency is not the U.S. dollar, persons who mark-to-market our shares, persons who hold our shares as part of a “straddle,” “hedge” or “conversion” transaction, U.S. expatriates, regulated investment companies, real estate investment trusts, personal holding companies, persons required to accelerate the recognition of gross income as a result of such income being recognized on an applicable financial statement, and persons who acquire an interest in the Company in connection with the performance of services. Such persons should consult with their own tax advisers as to the U.S. federal income tax consequences of an investment in our common stock, which may differ substantially from those described herein. This summary assumes that investors hold shares of our common stock as capital assets (within the meaning of the Code). The discussion is based upon the Code, U.S. Department of Treasury regulations, (“Treasury Regulations”), and administrative and judicial interpretations, each as of the date of this prospectus and all of which are subject to change, possibly retroactively, which could affect the continuing validity of this discussion. We have not sought and do not intend to seek any ruling from the Internal Revenue Service, or the IRS, regarding any offer and sale of our securities under this prospectus. This summary does not discuss any aspects of U.S. estate or gift tax or foreign, state or local tax. It does not discuss the special treatment under U.S. federal income tax laws that could result if we invested in tax-exempt securities or certain other investment assets.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our discussion, a “U.S. stockholder” means a beneficial owner of shares of our common stock that is for U.S. federal income tax purposes: </w:t>
      </w:r>
    </w:p>
    <w:p>
      <w:pPr>
        <w:pStyle w:val="TextBody"/>
        <w:bidi w:val="0"/>
        <w:spacing w:before="0" w:after="0"/>
        <w:jc w:val="left"/>
        <w:rPr/>
      </w:pPr>
      <w:r>
        <w:rPr/>
        <w:t> </w:t>
      </w:r>
    </w:p>
    <w:tbl>
      <w:tblPr>
        <w:tblW w:w="4510" w:type="dxa"/>
        <w:jc w:val="left"/>
        <w:tblInd w:w="0" w:type="dxa"/>
        <w:tblLayout w:type="fixed"/>
        <w:tblCellMar>
          <w:top w:w="0" w:type="dxa"/>
          <w:left w:w="0" w:type="dxa"/>
          <w:bottom w:w="0" w:type="dxa"/>
          <w:right w:w="0" w:type="dxa"/>
        </w:tblCellMar>
      </w:tblPr>
      <w:tblGrid>
        <w:gridCol w:w="75"/>
        <w:gridCol w:w="110"/>
        <w:gridCol w:w="60"/>
        <w:gridCol w:w="42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citizen or individual resident of the United States;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treated as a corporation, created or organized in or under the laws of the United States or any state thereof or the District of Columbia; </w:t>
            </w:r>
          </w:p>
        </w:tc>
      </w:tr>
    </w:tbl>
    <w:p>
      <w:pPr>
        <w:pStyle w:val="TextBody"/>
        <w:bidi w:val="0"/>
        <w:spacing w:before="0" w:after="0"/>
        <w:jc w:val="left"/>
        <w:rPr/>
      </w:pPr>
      <w:r>
        <w:rPr/>
        <w:t> </w:t>
      </w:r>
    </w:p>
    <w:tbl>
      <w:tblPr>
        <w:tblW w:w="8275" w:type="dxa"/>
        <w:jc w:val="left"/>
        <w:tblInd w:w="0" w:type="dxa"/>
        <w:tblLayout w:type="fixed"/>
        <w:tblCellMar>
          <w:top w:w="0" w:type="dxa"/>
          <w:left w:w="0" w:type="dxa"/>
          <w:bottom w:w="0" w:type="dxa"/>
          <w:right w:w="0" w:type="dxa"/>
        </w:tblCellMar>
      </w:tblPr>
      <w:tblGrid>
        <w:gridCol w:w="75"/>
        <w:gridCol w:w="110"/>
        <w:gridCol w:w="60"/>
        <w:gridCol w:w="80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taxation regardless of its source;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trust if (1) a U.S. court is able to exercise primary supervision over the administration of such trust and one or more U.S. persons have the authority to control all substantial decisions of the trust or (2) it has a valid election in place to be treated as a U.S.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purposes of our discussion, a “Non-U.S. stockholder” means a beneficial owner of shares of our common stock that is neither a U.S. stockholder nor a partnership (including an entity or arrangement treated as a partnership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If a partnership (including an entity or arrangement treated as a partnership for U.S. federal income tax purposes) holds shares of our common stock, the tax treatment of a partner or member of the partnership will generally depend upon the status of the partner and the activities of the partnership. Each partner in a partnership that is considering acquiring shares of our common stock should consult his, her or its tax advisors with respect to the purchase, ownership and disposition of shares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U.S. federal, state, local and foreign tax laws, eligibility for the benefits of any applicable tax treaty and the effect of any possible changes in the tax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Taxation in Connection with Holding Securities other than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We intend to describe in any prospectus supplement related to the offering of preferred stock, subscription rights, debt securities, or warrants to purchase our common stock, preferred stock or debt securities, the U.S. federal income tax considerations applicable to such securities as will be sold by us pursuant to that prospectus supplement, including the taxation of any debt securities that will be sold at an original issue discount, and the tax treatment of sales, exchanges or retirements of our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Election to be Taxed as a RIC </w:t>
      </w:r>
    </w:p>
    <w:p>
      <w:pPr>
        <w:pStyle w:val="TextBody"/>
        <w:bidi w:val="0"/>
        <w:spacing w:before="120" w:after="0"/>
        <w:jc w:val="left"/>
        <w:rPr>
          <w:rFonts w:ascii="Times New Roman" w:hAnsi="Times New Roman"/>
          <w:sz w:val="20"/>
        </w:rPr>
      </w:pPr>
      <w:r>
        <w:rPr>
          <w:rFonts w:ascii="Times New Roman" w:hAnsi="Times New Roman"/>
          <w:sz w:val="20"/>
        </w:rPr>
        <w:t xml:space="preserve">We have elected to be treated as a RIC under Subchapter M of the Code. As a RIC, we generally will not be subject to U.S. federal income tax on any income that we timely distribute to our stockholders. To maintain our tax status as a RIC, we must, among other things, meet certain source-of-income and asset diversification requirements (as described below). In addition, in order to maintain our tax treatment as a RIC, we generally must distribute to our stockholders, for each taxable year, at least 90% of our “investment company taxable income,” which is generally our net ordinary income plus the excess, if any, of realized net short-term capital gain over realized net long-term capital loss, or the Annual Distribution Requirement. Depending on the level of taxable income earned in a tax year, we may choose to carry forward taxable income in excess of current year distributions into the next tax year and pay a 4% nondeductible U.S. federal excise tax on such income. In such case, we must distribute any such carryover taxable income through a distribution declared prior to filing the final tax return for the year in which we generated such taxable income. Even if we maintain our status as a RIC, we generally will be subject to U.S. federal income tax imposed at corporate rates on our undistributed taxable income and could be subject to U.S. federal excise, state, local and foreign taxes.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as a RIC </w:t>
      </w:r>
    </w:p>
    <w:p>
      <w:pPr>
        <w:pStyle w:val="TextBody"/>
        <w:bidi w:val="0"/>
        <w:spacing w:before="120" w:after="0"/>
        <w:jc w:val="left"/>
        <w:rPr>
          <w:rFonts w:ascii="Times New Roman" w:hAnsi="Times New Roman"/>
          <w:sz w:val="20"/>
        </w:rPr>
      </w:pPr>
      <w:r>
        <w:rPr>
          <w:rFonts w:ascii="Times New Roman" w:hAnsi="Times New Roman"/>
          <w:sz w:val="20"/>
        </w:rPr>
        <w:t xml:space="preserve">Provided that we maintain our status as a RIC and satisfy the Annual Distribution Requirement, we will not be subject to U.S. federal income tax on the portion of our investment company taxable income and net capital gain (which is defined as net long-term capital gain in excess of net short-term capital loss) that we timely distribute to stockholders as dividends. We will be subject to U.S. federal income tax at the regular corporate rates on any income or capital gain not distributed (or deemed distributed) to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We will be subject to a 4% nondeductible U.S. federal excise tax on certain undistributed income unless we distribute in a timely manner an amount at least equal to the sum of (1) 98% of our investment company taxable income for each calendar year, (2) 98.2% of our capital gain net income for the one-year period ending October 31 in that calendar year (or, if we so elect, for that calendar year) and (3) any income and net capital gains that we recognized in preceding years, but were not distributed during such years, and on which we paid no U.S. federal income tax. </w:t>
      </w:r>
    </w:p>
    <w:p>
      <w:pPr>
        <w:pStyle w:val="TextBody"/>
        <w:bidi w:val="0"/>
        <w:spacing w:before="240" w:after="0"/>
        <w:jc w:val="left"/>
        <w:rPr>
          <w:rFonts w:ascii="Times New Roman" w:hAnsi="Times New Roman"/>
          <w:sz w:val="20"/>
        </w:rPr>
      </w:pPr>
      <w:r>
        <w:rPr>
          <w:rFonts w:ascii="Times New Roman" w:hAnsi="Times New Roman"/>
          <w:sz w:val="20"/>
        </w:rPr>
        <w:t xml:space="preserve">In order to maintain our status as a RIC for U.S. federal income tax purposes, we must, among other things: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continue to qualify as a BDC or be registered as a management investment company under the 1940 Act at all times during each taxable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derive in each taxable year at least 90% of our gross income from dividends, interest, payments with respect to certain securities loans, gains from the sale or other disposition of stock or other securities or foreign currencies, other income derived with respect to our business of investing in such stock, securities or currencies and net income derived from an interest in a “qualified publicly traded partnership” (as defined in Subchapter M of the Code), or the 90% Income Test;</w:t>
            </w:r>
          </w:p>
        </w:tc>
      </w:tr>
    </w:tbl>
    <w:p>
      <w:pPr>
        <w:pStyle w:val="TextBody"/>
        <w:bidi w:val="0"/>
        <w:spacing w:before="0" w:after="0"/>
        <w:jc w:val="left"/>
        <w:rPr/>
      </w:pPr>
      <w:r>
        <w:rPr/>
        <w:t> </w:t>
      </w:r>
    </w:p>
    <w:tbl>
      <w:tblPr>
        <w:tblW w:w="4360" w:type="dxa"/>
        <w:jc w:val="left"/>
        <w:tblInd w:w="0" w:type="dxa"/>
        <w:tblLayout w:type="fixed"/>
        <w:tblCellMar>
          <w:top w:w="0" w:type="dxa"/>
          <w:left w:w="0" w:type="dxa"/>
          <w:bottom w:w="0" w:type="dxa"/>
          <w:right w:w="0" w:type="dxa"/>
        </w:tblCellMar>
      </w:tblPr>
      <w:tblGrid>
        <w:gridCol w:w="75"/>
        <w:gridCol w:w="110"/>
        <w:gridCol w:w="60"/>
        <w:gridCol w:w="41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Satisfy the Annual Distribution Requirement; and </w:t>
            </w:r>
          </w:p>
        </w:tc>
      </w:tr>
    </w:tbl>
    <w:p>
      <w:pPr>
        <w:pStyle w:val="TextBody"/>
        <w:bidi w:val="0"/>
        <w:spacing w:before="0" w:after="0"/>
        <w:jc w:val="left"/>
        <w:rPr/>
      </w:pPr>
      <w:r>
        <w:rPr/>
        <w:t> </w:t>
      </w:r>
    </w:p>
    <w:tbl>
      <w:tblPr>
        <w:tblW w:w="6400" w:type="dxa"/>
        <w:jc w:val="left"/>
        <w:tblInd w:w="0" w:type="dxa"/>
        <w:tblLayout w:type="fixed"/>
        <w:tblCellMar>
          <w:top w:w="0" w:type="dxa"/>
          <w:left w:w="0" w:type="dxa"/>
          <w:bottom w:w="0" w:type="dxa"/>
          <w:right w:w="0" w:type="dxa"/>
        </w:tblCellMar>
      </w:tblPr>
      <w:tblGrid>
        <w:gridCol w:w="75"/>
        <w:gridCol w:w="110"/>
        <w:gridCol w:w="60"/>
        <w:gridCol w:w="61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diversify our holdings so that at the end of each quarter of the taxable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least 50% of the value of our assets consists of cash, cash equivalents, U.S. Government securities, securities of other RICs, and other securities if such other securities of any one issuer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do not represent more than 5% of the value of our assets or more than 10% of the outstanding voting securities of the issuer (which for these purposes includes the equity securities of a “qualified publicly traded partnership”);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more than 25% of the value of our assets is invested in (i) the securities, other than U.S. Government securities or securities of other RICs, of one issuer (ii) the securities, other than securities of other RICs, of two or more issuers that are controlled, as determined under applicable tax rules, by us and that are engaged in the same or similar or related trades or businesses or (iii) the securities of one or more “qualified publicly traded partnerships,” or the Diversification Tests.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that we invest in entities treated as partnerships for U.S. federal income tax purposes (other than a “qualified publicly traded partnership”), we generally must include our allocable share of the items of gross income derived by the partnerships for purposes of the 90% Income Test, and the income that is derived from a partnership (other than, a “qualified publicly traded partnership”) will be treated as qualifying income for purposes of the 90% Income Test only to the extent that such income is attributable to items of income of the partnership which would be qualifying income if realized by us directly. In addition, we generally must take into account our proportionate share of the assets held by partnerships (other than a “qualified publicly traded partnership”) in which we are a partner for purposes of the Diversification Tests. </w:t>
      </w:r>
    </w:p>
    <w:p>
      <w:pPr>
        <w:pStyle w:val="TextBody"/>
        <w:bidi w:val="0"/>
        <w:spacing w:before="240" w:after="0"/>
        <w:jc w:val="left"/>
        <w:rPr>
          <w:rFonts w:ascii="Times New Roman" w:hAnsi="Times New Roman"/>
          <w:sz w:val="20"/>
        </w:rPr>
      </w:pPr>
      <w:r>
        <w:rPr>
          <w:rFonts w:ascii="Times New Roman" w:hAnsi="Times New Roman"/>
          <w:sz w:val="20"/>
        </w:rPr>
        <w:t xml:space="preserve">In order to meet the 90% Income Test, we have established several special purpose corporations, and in the future may establish additional such corporations, to hold assets from which we do not anticipate earning dividends, interest or other qualifying income under the 90% Income Test (the “Taxable Subsidiaries”). Any investments held through the Taxable Subsidiaries are generally subject to U.S. federal income tax imposed at corporate rates, and therefore we can expect to achieve a reduced after-tax yield on such investments. </w:t>
      </w:r>
    </w:p>
    <w:p>
      <w:pPr>
        <w:pStyle w:val="TextBody"/>
        <w:bidi w:val="0"/>
        <w:spacing w:before="240" w:after="0"/>
        <w:jc w:val="left"/>
        <w:rPr>
          <w:rFonts w:ascii="Times New Roman" w:hAnsi="Times New Roman"/>
          <w:sz w:val="20"/>
        </w:rPr>
      </w:pPr>
      <w:r>
        <w:rPr>
          <w:rFonts w:ascii="Times New Roman" w:hAnsi="Times New Roman"/>
          <w:sz w:val="20"/>
        </w:rPr>
        <w:t xml:space="preserve">We may be required to recognize taxable income in circumstances in which we do not receive a corresponding payment in cash. For example, if we hold debt instruments that are treated under applicable tax rules as having OID or debt instruments with PIK interest, we must include in income each year a portion of the OID that accrues over the life of the instrument and PIK interest, regardless of whether cash representing such income is received by us in the same taxable year. We may also have to include in income other amounts that we have not yet received in cash, such as deferred loan origination fees that are paid after origination of the loan or are paid in non-cash compensation such as warrants or stock. We anticipate that a portion of our income may constitute OID or other income required to be included in taxable income prior to our receipt of cash. </w:t>
      </w:r>
    </w:p>
    <w:p>
      <w:pPr>
        <w:pStyle w:val="TextBody"/>
        <w:bidi w:val="0"/>
        <w:spacing w:before="240" w:after="0"/>
        <w:jc w:val="left"/>
        <w:rPr>
          <w:rFonts w:ascii="Times New Roman" w:hAnsi="Times New Roman"/>
          <w:sz w:val="20"/>
        </w:rPr>
      </w:pPr>
      <w:r>
        <w:rPr>
          <w:rFonts w:ascii="Times New Roman" w:hAnsi="Times New Roman"/>
          <w:sz w:val="20"/>
        </w:rPr>
        <w:t xml:space="preserve">Because any OID or other amounts accrued will be included in our investment company taxable income for the year of the accrual, we may be required to make a distribution to our stockholders in order to satisfy the Annual Distribution Requirement, even though we will not have received any corresponding cash amount. As a result, we may have difficulty meeting the Annual Distribution Requirement. We may have to sell some of our investments at times and/or at prices we would not consider advantageous, raise additional debt or equity capital or forgo new investment opportunities for this purpose. If we are not able to obtain cash from other sources, we may fail to qualify for RIC tax treatment and thus become subject to U.S. federal income tax. </w:t>
      </w:r>
    </w:p>
    <w:p>
      <w:pPr>
        <w:pStyle w:val="TextBody"/>
        <w:bidi w:val="0"/>
        <w:spacing w:before="240" w:after="0"/>
        <w:jc w:val="left"/>
        <w:rPr>
          <w:rFonts w:ascii="Times New Roman" w:hAnsi="Times New Roman"/>
          <w:sz w:val="20"/>
        </w:rPr>
      </w:pPr>
      <w:r>
        <w:rPr>
          <w:rFonts w:ascii="Times New Roman" w:hAnsi="Times New Roman"/>
          <w:sz w:val="20"/>
        </w:rPr>
        <w:t xml:space="preserve">Gain or loss realized by us from warrants acquired by us as well as any loss attributable to the lapse of such warrants generally will be treated as capital gain or loss. Such gain or loss generally will be long-term or short-term, depending on how long we held a particular warrant. </w:t>
      </w:r>
    </w:p>
    <w:p>
      <w:pPr>
        <w:pStyle w:val="TextBody"/>
        <w:bidi w:val="0"/>
        <w:spacing w:before="240" w:after="0"/>
        <w:jc w:val="left"/>
        <w:rPr>
          <w:rFonts w:ascii="Times New Roman" w:hAnsi="Times New Roman"/>
          <w:sz w:val="20"/>
        </w:rPr>
      </w:pPr>
      <w:r>
        <w:rPr>
          <w:rFonts w:ascii="Times New Roman" w:hAnsi="Times New Roman"/>
          <w:sz w:val="20"/>
        </w:rPr>
        <w:t>Investments by us in non-U.S. securities may be subject to non-U.S. income, withholding and other taxes, and therefore, our yield on any such securities may be reduced by such non-U.S. taxes. Stockholders will generally not be entitled to claim a credit or deduction with respect to non-U.S. taxes paid by us.</w:t>
      </w:r>
    </w:p>
    <w:p>
      <w:pPr>
        <w:pStyle w:val="TextBody"/>
        <w:bidi w:val="0"/>
        <w:spacing w:before="240" w:after="0"/>
        <w:jc w:val="left"/>
        <w:rPr>
          <w:rFonts w:ascii="Times New Roman" w:hAnsi="Times New Roman"/>
          <w:sz w:val="20"/>
        </w:rPr>
      </w:pPr>
      <w:r>
        <w:rPr>
          <w:rFonts w:ascii="Times New Roman" w:hAnsi="Times New Roman"/>
          <w:sz w:val="20"/>
        </w:rPr>
        <w:t xml:space="preserve">Although we do not presently expect to do so, we are authorized to borrow funds and to sell assets in order to satisfy the Annual Distribution Requirement and the 4% U.S. federal excise tax. However, under the 1940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are not permitted to make distributions to our stockholders while our debt obligations and other senior securities are outstanding unless certain “asset coverage” tests are met. See “Regulation — Qualifying Assets” and “Regulation — Senior Securities.” Moreover, our ability to dispose of assets to satisfy the Annual Distribution Requirement and to avoid corporate-level U.S. federal income tax and the 4% U.S. federal excise tax may be limited by (1) the illiquid nature of our portfolio and (2) other requirements relating to our status as a RIC, including the Diversification Tests. If we dispose of assets in order to meet the Annual Distribution Requirement or to avoid corporate-level U.S. federal income tax or the 4% U.S. federal excise tax, we may make such dispositions at times that, from an investment standpoint, are not advantageous. </w:t>
      </w:r>
    </w:p>
    <w:p>
      <w:pPr>
        <w:pStyle w:val="TextBody"/>
        <w:bidi w:val="0"/>
        <w:spacing w:before="240" w:after="0"/>
        <w:jc w:val="left"/>
        <w:rPr>
          <w:rFonts w:ascii="Times New Roman" w:hAnsi="Times New Roman"/>
          <w:sz w:val="20"/>
        </w:rPr>
      </w:pPr>
      <w:r>
        <w:rPr>
          <w:rFonts w:ascii="Times New Roman" w:hAnsi="Times New Roman"/>
          <w:sz w:val="20"/>
        </w:rPr>
        <w:t xml:space="preserve">A RIC is limited in its ability to deduct expenses in excess of its “investment company taxable income.” If our expenses in a given year exceed investment company taxable income, we would experience a net operating loss for that year. As a RIC, we are not allowed to carry forward or carry back a net operating loss for purposes of computing our investment company taxable income in other taxable years. U.S. federal income tax law generally permits a RIC to carry forward its capital losses. However, future transactions in which we may engage could cause our ability to use any capital loss carryforwards, and unrealized losses once realized, to be limited under Section 382 of the Code. </w:t>
      </w:r>
    </w:p>
    <w:p>
      <w:pPr>
        <w:pStyle w:val="TextBody"/>
        <w:bidi w:val="0"/>
        <w:spacing w:before="240" w:after="0"/>
        <w:jc w:val="left"/>
        <w:rPr>
          <w:rFonts w:ascii="Times New Roman" w:hAnsi="Times New Roman"/>
          <w:sz w:val="20"/>
        </w:rPr>
      </w:pPr>
      <w:r>
        <w:rPr>
          <w:rFonts w:ascii="Times New Roman" w:hAnsi="Times New Roman"/>
          <w:sz w:val="20"/>
        </w:rPr>
        <w:t xml:space="preserve">Certain of our investment practices may be subject to special and complex U.S. federal income tax provisions that may, among other things, (i) disallow, suspend or otherwise limit the allowance of certain losses or deductions, (ii) convert lower taxed long-term capital gain and qualified dividend income into higher taxed short-term capital gain or ordinary income, (iii) convert an ordinary loss or a deduction into a capital loss (the deductibility of which is more limited), (iv) cause us to recognize income or gain without a corresponding receipt of cash, (v) adversely affect the time as to when a purchase or sale of stock or securities is deemed to occur, (vi) adversely alter the characterization of certain complex financial transactions, and (vii) produce income that will not be qualifying income for purposes of the 90% Income Test. We will monitor our transactions and may make certain tax elections in order to mitigate the effect of these provisions. </w:t>
      </w:r>
    </w:p>
    <w:p>
      <w:pPr>
        <w:pStyle w:val="TextBody"/>
        <w:bidi w:val="0"/>
        <w:spacing w:before="240" w:after="0"/>
        <w:jc w:val="left"/>
        <w:rPr>
          <w:rFonts w:ascii="Times New Roman" w:hAnsi="Times New Roman"/>
          <w:sz w:val="20"/>
        </w:rPr>
      </w:pPr>
      <w:r>
        <w:rPr>
          <w:rFonts w:ascii="Times New Roman" w:hAnsi="Times New Roman"/>
          <w:sz w:val="20"/>
        </w:rPr>
        <w:t xml:space="preserve">We may make distributions that are payable in cash or shares of our stock at the election of each stockholder. In accordance with Treasury regulations and published guidance issued by the Internal Revenue Service, a publicly offered RIC may treat distributions of its own stock as counting towards its RIC distribution requirements if each stockholder may elect to receive his, her, or its entire distribution in either cash or stock of the RIC. The Internal Revenue Procedure has published guidance indicating that this rule will apply where the aggregate amount of cash available to be distributed to all stockholders is not less than 20% of the aggregate declared distribution. Under the published guidance, if too many stockholders elect to receive their distributions in cash, the cash available for distribution must be allocated among the stockholders electing to receive cash (with the balance of the distribution paid in stock). If we decide to make any distributions that are payable in part in shares of our stock, U.S. stockholders receiving such distributions will be required to include the full amount of the distribution (whether received in cash, shares of our stock, or a combination thereof) as ordinary income (or as long-term capital gain to the extent such distribution is properly reported as a capital gain dividend) to the extent of our current and accumulated earnings and profits. As a result, a U.S. stockholder may be required to pay tax with respect to such distributions in excess of any cash received. If a U.S. stockholder sells the stock it receives in order to pay this tax, the sales proceeds may be less than the amount included in income with respect to the distribution, depending on the market price of our stock at the time of the sale. Furthermore, with respect to Non-U.S. stockholders, we may be required to withhold U.S. federal tax with respect to such distributions, including in respect of all or a portion of such distributions that are payable in stock. In addition, if a significant number of our stockholders determine to sell shares of our stock in order to pay taxes owed on such distributions, it may put downward pressure on the trading price of shares of our stock. </w:t>
      </w:r>
    </w:p>
    <w:p>
      <w:pPr>
        <w:pStyle w:val="TextBody"/>
        <w:bidi w:val="0"/>
        <w:spacing w:before="360" w:after="0"/>
        <w:jc w:val="left"/>
        <w:rPr>
          <w:rFonts w:ascii="Times New Roman" w:hAnsi="Times New Roman"/>
          <w:b/>
          <w:sz w:val="20"/>
        </w:rPr>
      </w:pPr>
      <w:r>
        <w:rPr>
          <w:rFonts w:ascii="Times New Roman" w:hAnsi="Times New Roman"/>
          <w:b/>
          <w:sz w:val="20"/>
        </w:rPr>
        <w:t xml:space="preserve">Failure To Obtain RIC Tax Treatment </w:t>
      </w:r>
    </w:p>
    <w:p>
      <w:pPr>
        <w:pStyle w:val="TextBody"/>
        <w:bidi w:val="0"/>
        <w:spacing w:before="120" w:after="0"/>
        <w:jc w:val="left"/>
        <w:rPr>
          <w:rFonts w:ascii="Times New Roman" w:hAnsi="Times New Roman"/>
          <w:sz w:val="20"/>
        </w:rPr>
      </w:pPr>
      <w:r>
        <w:rPr>
          <w:rFonts w:ascii="Times New Roman" w:hAnsi="Times New Roman"/>
          <w:sz w:val="20"/>
        </w:rPr>
        <w:t xml:space="preserve">If we fail to satisfy the 90% Income Test or the Diversification Tests for any taxable year, we may nevertheless continue to qualify as a RIC for such year if certain relief provisions are applicable (which may, among other things, require us to pay certain U.S. federal taxes or to dispose of certain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we were unable to maintain our tax treatment as a RIC, we would be subject to U.S. federal income tax on all of our taxable income imposed at corporate rates. We would not be able to deduct distributions to stockholders, nor would distributions be compulsory. Distributions would generally be taxable to our stockholders as dividend income to the extent of our current and accumulated earnings and profits. Subject to certain holding period and other limitations under Subchapter M of the Code, corporate distributees would be eligible for the dividends-received deduction; non-corporate stockholders would generally be able to treat such dividends as “qualified dividend income,” which is subject to reduced rates of U.S. federal income tax. Distributions in excess of our current and accumulated earnings and profits would be treated first as a return of capital to the extent of the stockholder’s adjusted tax basis, and any remaining distributions would be treated as a capital gain. </w:t>
      </w:r>
    </w:p>
    <w:p>
      <w:pPr>
        <w:pStyle w:val="TextBody"/>
        <w:bidi w:val="0"/>
        <w:spacing w:before="240" w:after="0"/>
        <w:jc w:val="left"/>
        <w:rPr>
          <w:rFonts w:ascii="Times New Roman" w:hAnsi="Times New Roman"/>
          <w:sz w:val="20"/>
        </w:rPr>
      </w:pPr>
      <w:r>
        <w:rPr>
          <w:rFonts w:ascii="Times New Roman" w:hAnsi="Times New Roman"/>
          <w:sz w:val="20"/>
        </w:rPr>
        <w:t xml:space="preserve">In order to requalify as a RIC, in addition to the other requirements discussed above, we would be required to distribute all of our previously undistributed earnings attributable to the period we failed to qualify as a RIC by the end of the first year that we intend to requalify as a RIC. If we fail to qualify as a RIC for two or more taxable years, to qualify as a RIC in a subsequent year we may be subject to U.S. federal income tax on any net built-in gains with respect to certain of our assets (i.e., the excess of the aggregate gains, including items of income, over aggregate losses that would have been realized with respect to such assets if we had been liquidated) that we elect to recognize on requalification or when recognized over the next five years.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of U.S. Stockholders </w:t>
      </w:r>
    </w:p>
    <w:p>
      <w:pPr>
        <w:pStyle w:val="TextBody"/>
        <w:bidi w:val="0"/>
        <w:spacing w:before="120" w:after="0"/>
        <w:jc w:val="left"/>
        <w:rPr>
          <w:rFonts w:ascii="Times New Roman" w:hAnsi="Times New Roman"/>
          <w:sz w:val="20"/>
        </w:rPr>
      </w:pPr>
      <w:r>
        <w:rPr>
          <w:rFonts w:ascii="Times New Roman" w:hAnsi="Times New Roman"/>
          <w:sz w:val="20"/>
        </w:rPr>
        <w:t xml:space="preserve">Whether an investment in shares of our common stock is appropriate for a U.S. stockholder will depend upon that person’s particular circumstances. An investment in shares of our common stock by a U.S. stockholder may have adverse tax consequences. The following summary generally describes certain U.S. federal income tax consequences of an investment in shares of our common stock by taxable U.S. stockholders. Prospective investors should consult their own tax advisors before making an investment in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Distributions by us generally are taxable to U.S. stockholders as ordinary income or capital gain. Distributions of our “investment company taxable income” (which is, generally, our ordinary income excluding net capital gain) will be taxable as ordinary income to U.S. stockholders to the extent of our current or accumulated earnings and profits, whether paid in cash or reinvested in additional common stock. To the extent such distributions paid by us to noncorporate U.S. stockholders (including individuals) are attributable to dividends from U.S. corporations and certain qualified foreign corporations, such distributions generally will be eligible for taxation at rates applicable to “qualifying dividends” (at a maximum tax rate of 20%) provided that we properly report such distribution as “qualified dividend income” in a written statement furnished to our stockholders and certain holding period and other requirements are satisfied. In this regard, it is not anticipated that a significant portion of distributions paid by us will be attributable to qualifying dividends; therefore, our distributions generally will not qualify for the preferential rates applicable to qualified dividend income. Distributions of our net capital gain (which is generally our net long-term capital gain in excess of net short-term capital loss) properly designated by us as “capital gain dividends” will be taxable to a U.S. stockholder as long-term capital gain (at a maximum rate of 20% in the case of individuals, trusts or estates), regardless of the U.S. stockholder’s holding period for his, her or its common stock and regardless of whether paid in cash or reinvested in additional common stock. Distributions in excess of our current and accumulated earnings and profits first will reduce a U.S. stockholder’s adjusted tax basis in such stockholder’s common stock and, after the adjusted basis is reduced to zero, will constitute capital gain to such U.S. stockholder. </w:t>
      </w:r>
    </w:p>
    <w:p>
      <w:pPr>
        <w:pStyle w:val="TextBody"/>
        <w:bidi w:val="0"/>
        <w:spacing w:before="240" w:after="0"/>
        <w:jc w:val="left"/>
        <w:rPr>
          <w:rFonts w:ascii="Times New Roman" w:hAnsi="Times New Roman"/>
          <w:sz w:val="20"/>
        </w:rPr>
      </w:pPr>
      <w:r>
        <w:rPr>
          <w:rFonts w:ascii="Times New Roman" w:hAnsi="Times New Roman"/>
          <w:sz w:val="20"/>
        </w:rPr>
        <w:t xml:space="preserve">In order to satisfy the Annual Distribution Requirement we intend to distribute any long-term capital gain at least annually; however, we may in the future decide to retain some or all of our long-term capital gain, but designate the retained amount as a “deemed distribution.” In that case, among other consequences, we will pay tax on the retained amount, each U.S. stockholder will be required to include his, her or its proportionate share of the deemed distribution in income as if it had been actually distributed to the U.S. stockholder, and the U.S. stockholder will be entitled to claim a credit equal to his, her or its allocable share of the tax paid thereon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us. The amount of the deemed distribution net of such tax will be added to the U.S. stockholder’s adjusted tax basis for his, her or its common stock. Since we expect to pay tax on any retained capital gain at our regular corporate tax rate, and since that rate is in excess of the maximum rate currently payable by individuals on net capital gain, the amount of tax that individual stockholders will be treated as having paid and for which they will receive a credit will exceed the tax they owe on the retained net capital gain. Such excess generally may be claimed as a credit against the U.S. stockholder’s other U.S. federal income tax obligations or may be refunded to the extent it exceeds a stockholder’s liability for U.S. federal income tax. We cannot treat any of our investment company taxable income as a “deemed distribution.”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determining (1) whether the Annual Distribution Requirement is satisfied for any year and (2) the amount of capital gain dividends paid for that year, we may, under certain circumstances, elect to treat a dividend that is paid during the following taxable year as if it had been paid during the taxable year in question. If we make such an election, the U.S. stockholder will still be treated as receiving the dividend in the taxable year in which the distribution is made. However, any dividend declared by us in October, November or December of any calendar year, payable to stockholders of record on a specified date in any such month and actually paid during January of the following year, will be treated as if it had been received by our U.S. stockholders on December 31 of the year in which the dividend was declared. </w:t>
      </w:r>
    </w:p>
    <w:p>
      <w:pPr>
        <w:pStyle w:val="TextBody"/>
        <w:bidi w:val="0"/>
        <w:spacing w:before="240" w:after="0"/>
        <w:jc w:val="left"/>
        <w:rPr>
          <w:rFonts w:ascii="Times New Roman" w:hAnsi="Times New Roman"/>
          <w:sz w:val="20"/>
        </w:rPr>
      </w:pPr>
      <w:r>
        <w:rPr>
          <w:rFonts w:ascii="Times New Roman" w:hAnsi="Times New Roman"/>
          <w:sz w:val="20"/>
        </w:rPr>
        <w:t xml:space="preserve">If an investor purchases shares of our common stock shortly before the record date of a distribution, the price of the shares will include the value of the distribution, and the investor will be subject to tax on the distribution even though it represents a return of his, her or its investment. </w:t>
      </w:r>
    </w:p>
    <w:p>
      <w:pPr>
        <w:pStyle w:val="TextBody"/>
        <w:bidi w:val="0"/>
        <w:spacing w:before="240" w:after="0"/>
        <w:jc w:val="left"/>
        <w:rPr>
          <w:rFonts w:ascii="Times New Roman" w:hAnsi="Times New Roman"/>
          <w:sz w:val="20"/>
        </w:rPr>
      </w:pPr>
      <w:r>
        <w:rPr>
          <w:rFonts w:ascii="Times New Roman" w:hAnsi="Times New Roman"/>
          <w:sz w:val="20"/>
        </w:rPr>
        <w:t xml:space="preserve">A U.S. stockholder generally will recognize taxable gain or loss if the stockholder sells or otherwise disposes of his, her or its shares of our common stock. The amount of gain or loss will be measured by the difference between such stockholder’s adjusted tax basis in the common stock sold and the amount of the proceeds received in exchange. Any gain arising from such sale or disposition generally will be treated as long-term capital gain or loss if the stockholder has held his, her or its shares for more than one year. Otherwise, it will be classified as short-term capital gain or loss. However, any capital loss arising from the sale or disposition of shares of our common stock held for six months or less will be treated as long-term capital loss to the extent of the amount of capital gain dividends received, or undistributed capital gain deemed received, with respect to such shares. In addition, all or a portion of any loss recognized upon a disposition of shares of our common stock may be disallowed if other substantially identical shares are purchased (whether through reinvestment of distributions or otherwise) within a 61-day period beginning 30 days before and ending 30 days after the date that the shares are disposed. The ability to otherwise deduct capital loss may be subject to other limitations under the Code. </w:t>
      </w:r>
    </w:p>
    <w:p>
      <w:pPr>
        <w:pStyle w:val="TextBody"/>
        <w:bidi w:val="0"/>
        <w:spacing w:before="240" w:after="0"/>
        <w:jc w:val="left"/>
        <w:rPr>
          <w:rFonts w:ascii="Times New Roman" w:hAnsi="Times New Roman"/>
          <w:sz w:val="20"/>
        </w:rPr>
      </w:pPr>
      <w:r>
        <w:rPr>
          <w:rFonts w:ascii="Times New Roman" w:hAnsi="Times New Roman"/>
          <w:sz w:val="20"/>
        </w:rPr>
        <w:t xml:space="preserve">In general, noncorporate U.S. stockholders, including individuals, trusts and estates, are subject to U.S. federal income tax (at a maximum rate of 20%) on their net capital gain, or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U.S. federal income tax on net capital gain at the maximum 21% rate also applied to ordinary income. Noncorporate stockholders with net capital loss for a year (which we define as capital loss in excess of capital gain) generally may deduct up to $3,000 of such losses against their ordinary income each year; any net capital loss of a noncorporate stockholder in excess of $3,000 generally may be carried forward and used in subsequent years as provided in the Code. Corporate stockholders generally may not deduct any net capital loss for a year, but may carry forward such losses for five years. </w:t>
      </w:r>
    </w:p>
    <w:p>
      <w:pPr>
        <w:pStyle w:val="TextBody"/>
        <w:bidi w:val="0"/>
        <w:spacing w:before="240" w:after="0"/>
        <w:jc w:val="left"/>
        <w:rPr>
          <w:rFonts w:ascii="Times New Roman" w:hAnsi="Times New Roman"/>
          <w:sz w:val="20"/>
        </w:rPr>
      </w:pPr>
      <w:r>
        <w:rPr>
          <w:rFonts w:ascii="Times New Roman" w:hAnsi="Times New Roman"/>
          <w:sz w:val="20"/>
        </w:rPr>
        <w:t xml:space="preserve">Certain U.S. stockholders who are individuals, estates or trusts generally will be subject to a 3.8% Medicare tax on, among other things, dividends on, and capital gain from the sale or other disposition of shares,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A “publicly offered” RIC is a RIC whose shares are either (i) continuously offered pursuant to a public offering, (ii) regularly traded on an established securities market or (iii) held by at least 500 persons at all times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during the taxable year. If we are not a publicly offered RIC for any period, a noncorporate stockholder’s pro rata portion of our affected expenses, including our management fees, will be treated as an additional distribution to the stockholder and will be deductible by such stockholder only to the extent permitted under the limitations described below. For noncorporate stockholders, including individuals, trusts, and estates, significant limitations generally apply to the deductibility of certain expenses of a nonpublicly offered RIC, including advisory fees. In particular, these expenses, referred to as miscellaneous itemized deductions, are deductible only to individuals to the extent they exceed 2% of such a stockholder’s adjusted gross income, and are not deductible for AMT purposes. Because we anticipate that shares of our common stock will continue to be regularly traded on an established securities market, we believe that we will continue to qualify as a publicly offered RIC, for our current taxable year, but there can be no assurance that we will in fact so qualify for any of our taxable years. </w:t>
      </w:r>
    </w:p>
    <w:p>
      <w:pPr>
        <w:pStyle w:val="TextBody"/>
        <w:bidi w:val="0"/>
        <w:spacing w:before="240" w:after="0"/>
        <w:jc w:val="left"/>
        <w:rPr>
          <w:rFonts w:ascii="Times New Roman" w:hAnsi="Times New Roman"/>
          <w:sz w:val="20"/>
        </w:rPr>
      </w:pPr>
      <w:r>
        <w:rPr>
          <w:rFonts w:ascii="Times New Roman" w:hAnsi="Times New Roman"/>
          <w:sz w:val="20"/>
        </w:rPr>
        <w:t xml:space="preserve">We will send to each of our U.S. stockholders, as promptly as possible after the end of each calendar year, a written statement detailing, on a per share and per distribution basis, the amounts includible in such U.S. stockholder’s taxable income for such year as ordinary income and as long-term capital gain. In addition, the U.S. federal income tax status of each year’s distributions generally will be reported to the IRS (including the amount of dividends, if any, eligible for the current 20% maximum rate). Distributions may also be subject to additional state, local and foreign taxes depending on a U.S. stockholder’s particular situation. </w:t>
      </w:r>
    </w:p>
    <w:p>
      <w:pPr>
        <w:pStyle w:val="TextBody"/>
        <w:bidi w:val="0"/>
        <w:spacing w:before="240" w:after="0"/>
        <w:jc w:val="left"/>
        <w:rPr>
          <w:rFonts w:ascii="Times New Roman" w:hAnsi="Times New Roman"/>
          <w:sz w:val="20"/>
        </w:rPr>
      </w:pPr>
      <w:r>
        <w:rPr>
          <w:rFonts w:ascii="Times New Roman" w:hAnsi="Times New Roman"/>
          <w:sz w:val="20"/>
        </w:rPr>
        <w:t xml:space="preserve">We may be required to withhold U.S. federal income tax, or backup withholding, from all taxable distributions to any noncorporate U.S. stockholder (1) who fails to furnish us with a correct taxpayer identification number or a certificate that such stockholder is exempt from backup withholding or (2) with respect to whom the IRS notifies us that such stockholder has failed to properly report certain interest and dividend income to the IRS and to respond to notices to that effect. An individual’s taxpayer identification number is generally his or her social security number. Backup withholding tax is not an additional tax, and any amount withheld may be refunded or credited against the U.S. stockholder’s U.S. federal income tax liability, provided that proper information is timely provided to the IRS. </w:t>
      </w:r>
    </w:p>
    <w:p>
      <w:pPr>
        <w:pStyle w:val="TextBody"/>
        <w:bidi w:val="0"/>
        <w:spacing w:before="240" w:after="0"/>
        <w:jc w:val="left"/>
        <w:rPr>
          <w:rFonts w:ascii="Times New Roman" w:hAnsi="Times New Roman"/>
          <w:sz w:val="20"/>
        </w:rPr>
      </w:pPr>
      <w:r>
        <w:rPr>
          <w:rFonts w:ascii="Times New Roman" w:hAnsi="Times New Roman"/>
          <w:sz w:val="20"/>
        </w:rPr>
        <w:t xml:space="preserve">Under applicable Treasury Regulations, if a stockholder recognizes a loss with respect to shares of our stock of $2 million or more for an individual, S corporation, trust, or a partnership with at least one noncorporate partner or $10 million or more for a stockholder that is either a corporation or a partnership with only corporate partners in any single taxable year (or a greater loss over a combination of years), the stockholder must comply with the appropriate disclosure requirements. Direct stockholders of portfolio securities in many cases are excepted from this reporting requirement, but under current guidance, stockholders of a RIC are not excepted. Future guidance may extend the current exception from this reporting requirement to stockholders of most or all RICs. The fact that a loss is reportable under these regulations does not affect the legal determination of whether the taxpayer’s treatment of the loss is proper. Significant monetary penalties apply to a failure to comply with this reporting requirement. States may also have a similar reporting requirement. Stockholders should consult their own tax advisors to determine the applicability of these regulations in light of their individual circumstances.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of Non-U.S. Stockholders </w:t>
      </w:r>
    </w:p>
    <w:p>
      <w:pPr>
        <w:pStyle w:val="TextBody"/>
        <w:bidi w:val="0"/>
        <w:spacing w:before="120" w:after="0"/>
        <w:jc w:val="left"/>
        <w:rPr>
          <w:rFonts w:ascii="Times New Roman" w:hAnsi="Times New Roman"/>
          <w:sz w:val="20"/>
        </w:rPr>
      </w:pPr>
      <w:r>
        <w:rPr>
          <w:rFonts w:ascii="Times New Roman" w:hAnsi="Times New Roman"/>
          <w:sz w:val="20"/>
        </w:rPr>
        <w:t xml:space="preserve">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Distributions of our “investment company taxable income” to Non-U.S. stockholders (including interest income and realized net short-term capital gains in excess of realized long-term capital losses) will be subject to U.S. withholding tax imposed at a rate of 30% (or lower rate provided by an applicable treaty) to the extent of our current and accumulated earnings and profits unless an applicable exception applies. No withholding is required with respect to certain distributions if (i) the distributions are properly reported as “interest-related dividends” or “short-term capital gain dividends,” (ii) the distributions are derived from sources specified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Code for such dividends and (iii) certain other requirements are satisfied. No assurance can be provided as to whether any of our distributions will be reported as eligible for this exemption. If the distributions are effectively connected with a U.S. trade or business of the Non-U.S. stockholder (and if an income tax treaty applies, such distributions are attributable to a permanent establishment maintained by the Non-U.S. stockholder within the United States), we will not be required to withhold U.S. federal tax if the Non-U.S. stockholder complies with applicable certification and disclosure requirements. (Special certification requirements apply to a Non-U.S. stockholder that is a foreign partnership or a foreign trust, and such entities are urged to consult their own tax advisers.) </w:t>
      </w:r>
    </w:p>
    <w:p>
      <w:pPr>
        <w:pStyle w:val="TextBody"/>
        <w:bidi w:val="0"/>
        <w:spacing w:before="240" w:after="0"/>
        <w:jc w:val="left"/>
        <w:rPr>
          <w:rFonts w:ascii="Times New Roman" w:hAnsi="Times New Roman"/>
          <w:sz w:val="20"/>
        </w:rPr>
      </w:pPr>
      <w:r>
        <w:rPr>
          <w:rFonts w:ascii="Times New Roman" w:hAnsi="Times New Roman"/>
          <w:sz w:val="20"/>
        </w:rPr>
        <w:t xml:space="preserve">Actual or deemed distributions of our net capital gain to a Non-U.S. stockholder, and gain realized by a Non-U.S. stockholder upon the sale of our common stock, that are not effectively connected with a U.S. trade or business carried on by the Non-U.S. stockholder (and if an income tax treaty applies, such distributions or gains are attributable to a permanent establishment maintained by the Non-U.S. stockholder within the United States), will generally not be subject to U.S. federal income tax. </w:t>
      </w:r>
    </w:p>
    <w:p>
      <w:pPr>
        <w:pStyle w:val="TextBody"/>
        <w:bidi w:val="0"/>
        <w:spacing w:before="240" w:after="0"/>
        <w:jc w:val="left"/>
        <w:rPr>
          <w:rFonts w:ascii="Times New Roman" w:hAnsi="Times New Roman"/>
          <w:sz w:val="20"/>
        </w:rPr>
      </w:pPr>
      <w:r>
        <w:rPr>
          <w:rFonts w:ascii="Times New Roman" w:hAnsi="Times New Roman"/>
          <w:sz w:val="20"/>
        </w:rPr>
        <w:t xml:space="preserve">Under our reinvestment of dividends policy, if a Non-U.S. stockholder owns shares of our common stock registered in its own name, the Non-U.S. stockholder will have all cash distributions automatically reinvested in additional shares of our common stock unless it opts out of the reinvestment of dividends. If the distribution is a distribution of our investment company taxable income, is not designated by us as a short-term capital gains dividend or interest-related dividend and it is not effectively connected with a U.S. trade or business of the Non-U.S. stockholder (or, if required by an applicable income tax treaty, is not attributable to a U.S. permanent establishment maintained by the Non-U.S. stockholder within the United States), the amount distributed (to the extent of our current or accumulated earnings and profits) will be subject to withholding of U.S. federal income tax imposed at a rate of 30% (or lower rate provided by an applicable treaty) and only the net after-tax amount will be reinvested in our common stock. The Non-U.S. stockholder will have an adjusted tax basis in the additional common stock purchased through the reinvestment equal to the amount reinvested. The additional shares will have a new holding period commencing on the day following the day on which the shares are credited to the Non-U.S. stockholder’s account. </w:t>
      </w:r>
    </w:p>
    <w:p>
      <w:pPr>
        <w:pStyle w:val="TextBody"/>
        <w:bidi w:val="0"/>
        <w:spacing w:before="240" w:after="0"/>
        <w:jc w:val="left"/>
        <w:rPr>
          <w:rFonts w:ascii="Times New Roman" w:hAnsi="Times New Roman"/>
          <w:sz w:val="20"/>
        </w:rPr>
      </w:pPr>
      <w:r>
        <w:rPr>
          <w:rFonts w:ascii="Times New Roman" w:hAnsi="Times New Roman"/>
          <w:sz w:val="20"/>
        </w:rPr>
        <w:t xml:space="preserve">The tax consequences to Non-U.S. stockholders that are individuals that are present in the U.S. for 183 days or more during a taxable year may be different from those described herein. Non-U.S. stockholders are urged to consult their tax advisers with respect to the procedure for claiming the benefit of a lower treaty rate and the applicability of foreign taxes. </w:t>
      </w:r>
    </w:p>
    <w:p>
      <w:pPr>
        <w:pStyle w:val="TextBody"/>
        <w:bidi w:val="0"/>
        <w:spacing w:before="240" w:after="0"/>
        <w:jc w:val="left"/>
        <w:rPr>
          <w:rFonts w:ascii="Times New Roman" w:hAnsi="Times New Roman"/>
          <w:sz w:val="20"/>
        </w:rPr>
      </w:pPr>
      <w:r>
        <w:rPr>
          <w:rFonts w:ascii="Times New Roman" w:hAnsi="Times New Roman"/>
          <w:sz w:val="20"/>
        </w:rPr>
        <w:t xml:space="preserve">If we distribute our net capital gain in the form of deemed rather than actual distributions (which we may do in the future), a Non-U.S. stockholder will be entitled to a U.S. federal income tax credit or tax refund equal to the stockholder’s allocable share of the tax we pay on the capital gain deemed to have been distributed. In order to obtain the refund, the Non-U.S. stockholder must obtain a U.S. taxpayer identification number and file a U.S. federal income tax return even if the Non-U.S. stockholder would not otherwise be required to obtain a U.S. taxpayer identification number or file a U.S. federal income tax return. Accordingly, investment in the shares may not be appropriate for a Non-U.S. stockholder. </w:t>
      </w:r>
    </w:p>
    <w:p>
      <w:pPr>
        <w:pStyle w:val="TextBody"/>
        <w:bidi w:val="0"/>
        <w:spacing w:before="240" w:after="0"/>
        <w:jc w:val="left"/>
        <w:rPr>
          <w:rFonts w:ascii="Times New Roman" w:hAnsi="Times New Roman"/>
          <w:sz w:val="20"/>
        </w:rPr>
      </w:pPr>
      <w:r>
        <w:rPr>
          <w:rFonts w:ascii="Times New Roman" w:hAnsi="Times New Roman"/>
          <w:sz w:val="20"/>
        </w:rPr>
        <w:t xml:space="preserve">Distributions of our “investment company taxable income” and net capital gain (including deemed distributions) to Non-U.S. stockholders, and gain realized by Non-U.S. stockholders upon the sale of our common stock that is “effectively connected” with a U.S. trade or business carried on by the Non-U.S. stockholder (or if an income tax treaty applies, attributable to a “permanent establishment” in the United States), will be subject to U.S. federal income tax at the graduated rates applicable to U.S. citizens, residents and domestic corporations. Corporate Non-U.S. stockholders may also be subject to an additional branch profits tax at a rate of 30% imposed by the Code (or lower rate provided by an applicable treaty). </w:t>
      </w:r>
    </w:p>
    <w:p>
      <w:pPr>
        <w:pStyle w:val="TextBody"/>
        <w:bidi w:val="0"/>
        <w:spacing w:before="240" w:after="0"/>
        <w:jc w:val="left"/>
        <w:rPr>
          <w:rFonts w:ascii="Times New Roman" w:hAnsi="Times New Roman"/>
          <w:sz w:val="20"/>
        </w:rPr>
      </w:pPr>
      <w:r>
        <w:rPr>
          <w:rFonts w:ascii="Times New Roman" w:hAnsi="Times New Roman"/>
          <w:sz w:val="20"/>
        </w:rPr>
        <w:t xml:space="preserve">The tax consequences to a Non-U.S. stockholder entitled to claim the benefits of an applicable tax treaty may differ from those described herein. Non-U.S. stockholders are advised to consult their own tax advisers with respect to the particular tax consequences to them of an investment in our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must generally report to our Non-U.S. stockholders and the IRS the amount of dividends paid during each calendar year and the amount of any tax withheld. Information reporting requirements may apply even if no withholding was required because the distributions were effectively connected with the Non-U.S. stockholder’s conduct of a U.S. trade or business or withholding was reduced or eliminated by an applicable income tax treaty. This information also may be made available under a specific treaty or agreement with the tax authorities in the country in which the Non-U.S. stockholder resides or is established. Under U.S. federal income tax law, interest, dividends and other reportable payments may, under certain circumstances, be subject to “backup withholding” at the then applicable rate (currently 24%). Backup withholding, however, generally will not apply to distributions to a Non-U.S. stockholder, provided the Non-U.S. stockholder furnishes to us the required certification as to its non-U.S. status, such as by providing a valid IRS Form W-8BEN or IRS Form W-8BEN-E, or certain other requirements are met. Backup withholding is not an additional tax but can be credited against a Non-U.S. stockholder’s U.S. federal income tax, and may be refunded to the extent it results in an overpayment of tax and the appropriate information is timely supplied to the IRS. </w:t>
      </w:r>
    </w:p>
    <w:p>
      <w:pPr>
        <w:pStyle w:val="TextBody"/>
        <w:bidi w:val="0"/>
        <w:spacing w:before="240" w:after="0"/>
        <w:jc w:val="left"/>
        <w:rPr>
          <w:rFonts w:ascii="Times New Roman" w:hAnsi="Times New Roman"/>
          <w:sz w:val="20"/>
        </w:rPr>
      </w:pPr>
      <w:r>
        <w:rPr>
          <w:rFonts w:ascii="Times New Roman" w:hAnsi="Times New Roman"/>
          <w:sz w:val="20"/>
        </w:rPr>
        <w:t xml:space="preserve">Non-U.S. persons should consult their own tax advisors with respect to the U.S. federal income tax and withholding tax, and state, local and foreign tax consequences of an investment in the shares. </w:t>
      </w:r>
    </w:p>
    <w:p>
      <w:pPr>
        <w:pStyle w:val="TextBody"/>
        <w:bidi w:val="0"/>
        <w:spacing w:before="360" w:after="0"/>
        <w:jc w:val="left"/>
        <w:rPr>
          <w:rFonts w:ascii="Times New Roman" w:hAnsi="Times New Roman"/>
          <w:b/>
          <w:sz w:val="20"/>
        </w:rPr>
      </w:pPr>
      <w:r>
        <w:rPr>
          <w:rFonts w:ascii="Times New Roman" w:hAnsi="Times New Roman"/>
          <w:b/>
          <w:sz w:val="20"/>
        </w:rPr>
        <w:t xml:space="preserve">Foreign Account Tax Compliance Act </w:t>
      </w:r>
    </w:p>
    <w:p>
      <w:pPr>
        <w:pStyle w:val="TextBody"/>
        <w:bidi w:val="0"/>
        <w:spacing w:before="120" w:after="0"/>
        <w:jc w:val="left"/>
        <w:rPr>
          <w:rFonts w:ascii="Times New Roman" w:hAnsi="Times New Roman"/>
          <w:sz w:val="20"/>
        </w:rPr>
      </w:pPr>
      <w:r>
        <w:rPr>
          <w:rFonts w:ascii="Times New Roman" w:hAnsi="Times New Roman"/>
          <w:sz w:val="20"/>
        </w:rPr>
        <w:t xml:space="preserve">Legislation commonly referred to as the “Foreign Account Tax Compliance Act,” or “FATCA,” generally imposes a 30% withholding tax on payments of certain types of income to foreign financial institutions (“FFIs”) unless such FFIs either (i) enter into an agreement with the U.S. Treasury to report certain required information with respect to accounts held by certain specified U.S. persons (or held by foreign entities that have certain specified U.S. persons as substantial owners) or (ii) reside in a jurisdiction that has entered into an intergovernmental agreement (“IGA”) with the United States to collect and share such information and are in compliance with the terms of such IGA and any enabling legislation or regulations. The types of income subject to the tax include U.S. source interest and dividends. While the Code would also require withholding on payments of the gross proceeds from the sale of any property that could produce U.S. source interest or dividends, the U.S. Treasury Department has indicated its intent to eliminate this requirement in subsequent proposed regulations, which state that taxpayers may rely on the proposed regulations until final regulations are issued. The information required to be reported includes the identity and taxpayer identification number of each account holder that is a specified U.S. person and transaction activity within the holder’s account. In addition, subject to certain exceptions, FATCA also imposes a 30% withholding on certain payments to certain foreign entities that are not FFIs unless the foreign entity certifies that it does not have a greater than 10% U.S. owner that is a specified U.S. person or provides the withholding agent with identifying information on each greater than 10% U.S. owner that is a specified U.S. person. Depending on the status of a Non-U.S. stockholder and the status of the intermediaries through which they hold their shares, Non-U.S. stockholder could be subject to this 30% withholding tax with respect to distributions on their common stock. Under certain circumstances, a non-U.S. stockholder might be eligible for refunds or credits of such taxes. </w:t>
      </w:r>
    </w:p>
    <w:p>
      <w:pPr>
        <w:pStyle w:val="TextBody"/>
        <w:bidi w:val="0"/>
        <w:spacing w:before="360" w:after="0"/>
        <w:jc w:val="left"/>
        <w:rPr>
          <w:rFonts w:ascii="Times New Roman" w:hAnsi="Times New Roman"/>
          <w:b/>
          <w:sz w:val="20"/>
        </w:rPr>
      </w:pPr>
      <w:r>
        <w:rPr>
          <w:rFonts w:ascii="Times New Roman" w:hAnsi="Times New Roman"/>
          <w:b/>
          <w:sz w:val="20"/>
        </w:rPr>
        <w:t xml:space="preserve">Possible Legislative or Other Actions Affecting Tax Considerations </w:t>
      </w:r>
    </w:p>
    <w:p>
      <w:pPr>
        <w:pStyle w:val="TextBody"/>
        <w:bidi w:val="0"/>
        <w:spacing w:before="120" w:after="0"/>
        <w:jc w:val="left"/>
        <w:rPr>
          <w:rFonts w:ascii="Times New Roman" w:hAnsi="Times New Roman"/>
          <w:sz w:val="20"/>
        </w:rPr>
      </w:pPr>
      <w:r>
        <w:rPr>
          <w:rFonts w:ascii="Times New Roman" w:hAnsi="Times New Roman"/>
          <w:sz w:val="20"/>
        </w:rPr>
        <w:t xml:space="preserve">Prospective investors should recognize that the present U.S. federal income tax treatment of an investment in our stock may be modified by legislative, judicial or administrative action at any time, and that any such action may affect investments and commitments previously made. The rules dealing with U.S. federal income taxation are constantly under review by persons involved in the legislative process any by the IRS and the U.S. Treasury Department, resulting in revisions of regulations and revised interpretations of established concepts as well as statutory changes. Revisions in U.S. federal tax laws and interpretations thereof could adversely affect the tax consequences of an investment in our stock. See Risk Related to Our Business and Structure – Recent tax legislation could have a negative effect on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discussion set forth herein does not constitute tax advice, and potential investors should consult their own tax advisors concerning the tax considerations relevant to their particular situation.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22" w:name="toc29698_21"/>
      <w:bookmarkEnd w:id="22"/>
      <w:r>
        <w:rPr>
          <w:rFonts w:ascii="Times New Roman" w:hAnsi="Times New Roman"/>
          <w:b/>
          <w:sz w:val="20"/>
        </w:rPr>
        <w:t xml:space="preserve">DESCRIPTION OF OUR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 </w:t>
      </w:r>
    </w:p>
    <w:p>
      <w:pPr>
        <w:pStyle w:val="TextBody"/>
        <w:bidi w:val="0"/>
        <w:spacing w:before="360" w:after="0"/>
        <w:jc w:val="left"/>
        <w:rPr>
          <w:rFonts w:ascii="Times New Roman" w:hAnsi="Times New Roman"/>
          <w:b/>
          <w:sz w:val="20"/>
        </w:rPr>
      </w:pPr>
      <w:r>
        <w:rPr>
          <w:rFonts w:ascii="Times New Roman" w:hAnsi="Times New Roman"/>
          <w:b/>
          <w:sz w:val="20"/>
        </w:rPr>
        <w:t xml:space="preserve">Capital Stock </w:t>
      </w:r>
    </w:p>
    <w:p>
      <w:pPr>
        <w:pStyle w:val="TextBody"/>
        <w:bidi w:val="0"/>
        <w:spacing w:before="120" w:after="0"/>
        <w:jc w:val="left"/>
        <w:rPr>
          <w:rFonts w:ascii="Times New Roman" w:hAnsi="Times New Roman"/>
          <w:sz w:val="20"/>
        </w:rPr>
      </w:pPr>
      <w:r>
        <w:rPr>
          <w:rFonts w:ascii="Times New Roman" w:hAnsi="Times New Roman"/>
          <w:sz w:val="20"/>
        </w:rPr>
        <w:t xml:space="preserve">Our authorized capital stock consists of 100,000,000 shares of common stock, par value $0.001 per share, of which 31,553,663 were outstanding as of May 3, 2024. Our common stock trades on the Nasdaq Global Select Market under the ticker symbol “FDUS.” There are no outstanding options or warrants to purchase our stock. No stock has been authorized for issuance under any equity compensation plan. Under Maryland law, our stockholders generally are not personally liable for our debts or obligations. </w:t>
      </w:r>
    </w:p>
    <w:p>
      <w:pPr>
        <w:pStyle w:val="TextBody"/>
        <w:bidi w:val="0"/>
        <w:spacing w:before="240" w:after="0"/>
        <w:jc w:val="left"/>
        <w:rPr>
          <w:rFonts w:ascii="Times New Roman" w:hAnsi="Times New Roman"/>
          <w:sz w:val="20"/>
        </w:rPr>
      </w:pPr>
      <w:r>
        <w:rPr>
          <w:rFonts w:ascii="Times New Roman" w:hAnsi="Times New Roman"/>
          <w:sz w:val="20"/>
        </w:rPr>
        <w:t xml:space="preserve">Under our charter, our board of directors is authorized to classify and reclassify any unissued shares of stock into other classes or series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All shares of our common stock have equal rights as to earnings, assets, voting, and distributions and, when they are issued, will be duly authorized, validly issued, fully paid and nonassessable. Distributions may be paid to the holders of our common stock if, as and when authorized by our board of directors and declared by us out of assets legally available therefor. Shares of our common stock have no preemptive, conversion or redemption rights and are freely transferable, except where their transfer is restricted by federal and state securities laws or by contract. In the event of our liquidation, dissolution or winding up,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 </w:t>
      </w:r>
    </w:p>
    <w:p>
      <w:pPr>
        <w:pStyle w:val="TextBody"/>
        <w:bidi w:val="0"/>
        <w:spacing w:before="360" w:after="0"/>
        <w:jc w:val="left"/>
        <w:rPr>
          <w:rFonts w:ascii="Times New Roman" w:hAnsi="Times New Roman"/>
          <w:b/>
          <w:sz w:val="20"/>
        </w:rPr>
      </w:pPr>
      <w:r>
        <w:rPr>
          <w:rFonts w:ascii="Times New Roman" w:hAnsi="Times New Roman"/>
          <w:b/>
          <w:sz w:val="20"/>
        </w:rPr>
        <w:t xml:space="preserve">Long-Term Debt </w:t>
      </w:r>
    </w:p>
    <w:p>
      <w:pPr>
        <w:pStyle w:val="TextBody"/>
        <w:bidi w:val="0"/>
        <w:spacing w:before="120" w:after="0"/>
        <w:jc w:val="left"/>
        <w:rPr>
          <w:rFonts w:ascii="Times New Roman" w:hAnsi="Times New Roman"/>
          <w:sz w:val="20"/>
        </w:rPr>
      </w:pPr>
      <w:r>
        <w:rPr>
          <w:rFonts w:ascii="Times New Roman" w:hAnsi="Times New Roman"/>
          <w:sz w:val="20"/>
        </w:rPr>
        <w:t xml:space="preserve">The SBA debentures issued by Fund III have fixed interest rates that approximate prevailing 10-year Treasury Note rates plus a spread and have a maturity of ten years with interest payable semi-annually. The principal amount of the SBA debentures is not required to be paid before maturity but may be pre-paid at any time. As of March 31, 2024, Fund III had $175.0 million of outstanding SBA debentures. </w:t>
      </w:r>
    </w:p>
    <w:p>
      <w:pPr>
        <w:pStyle w:val="TextBody"/>
        <w:bidi w:val="0"/>
        <w:spacing w:before="360" w:after="0"/>
        <w:jc w:val="left"/>
        <w:rPr>
          <w:rFonts w:ascii="Times New Roman" w:hAnsi="Times New Roman"/>
          <w:b/>
          <w:sz w:val="20"/>
        </w:rPr>
      </w:pPr>
      <w:r>
        <w:rPr>
          <w:rFonts w:ascii="Times New Roman" w:hAnsi="Times New Roman"/>
          <w:b/>
          <w:sz w:val="20"/>
        </w:rPr>
        <w:t xml:space="preserve">Credit Facility </w:t>
      </w:r>
    </w:p>
    <w:p>
      <w:pPr>
        <w:pStyle w:val="TextBody"/>
        <w:bidi w:val="0"/>
        <w:spacing w:before="120" w:after="0"/>
        <w:jc w:val="left"/>
        <w:rPr>
          <w:rFonts w:ascii="Times New Roman" w:hAnsi="Times New Roman"/>
          <w:sz w:val="20"/>
        </w:rPr>
      </w:pPr>
      <w:r>
        <w:rPr>
          <w:rFonts w:ascii="Times New Roman" w:hAnsi="Times New Roman"/>
          <w:sz w:val="20"/>
        </w:rPr>
        <w:t xml:space="preserve">On June 16, 2014, we entered into a senior secured revolving credit agreement (the “Credit Agreement” and the senior secured revolving credit facility, the “Credit Facility”) with ING Capital LLC (“ING”), as the administrative agent, collateral agent, and lender. The Credit Facility is secured by certain portfolio investments held by us, but portfolio investments held by the Funds are not collateral for the Credit Facility. On April 24, 2019, we entered into an Amended &amp; Restated Senior Secured Revolving Credit Agreement (the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Credit Agreement”) among us, as borrower, the lenders party thereto, and ING, as administrative agent. On June 26, 2020, we entered into an amendment to the Amended Credit Agreement that, among other changes, modified certain financial covenants. On August 17, 2022, the Company entered into a second amendment to the Amended Credit Agreement (“Second Amendment”). The Second Amendment, among other things: (i) changed the underlying benchmark used to compute interest under the Amended Credit Agreement to the Secured Overnight Financing Rate (SOFR) from the London Interbank Offered Rate (LIBOR); (ii) reduced the applicable margin from 3.00% to 2.675% on SOFR loans prior to satisfying certain step-down conditions, and from 2.675% to 2.50% after satisfying certain step-down conditions, with commensurate reductions in the applicable margins for base rate loans; (iii) provided for a loan commitment availability period ending on August 17, 2026; (iv) extended the maturity date to August 17, 2027 from April 24, 2023; and (v) amended certain financial covenants, including (a) amending the asset coverage ratio to no less than 1.50 to 1.00 from no less than 2.00 to 1.00 (on a regulatory basis); and (b) requiring the Company to maintain a senior asset coverage ratio of no less than 2.00 to 1.00. </w:t>
      </w:r>
    </w:p>
    <w:p>
      <w:pPr>
        <w:pStyle w:val="TextBody"/>
        <w:bidi w:val="0"/>
        <w:spacing w:before="240" w:after="0"/>
        <w:jc w:val="left"/>
        <w:rPr>
          <w:rFonts w:ascii="Times New Roman" w:hAnsi="Times New Roman"/>
          <w:sz w:val="20"/>
        </w:rPr>
      </w:pPr>
      <w:r>
        <w:rPr>
          <w:rFonts w:ascii="Times New Roman" w:hAnsi="Times New Roman"/>
          <w:sz w:val="20"/>
        </w:rPr>
        <w:t xml:space="preserve">We pay a commitment fee that varies depending on the size of the unused portion of the Credit Facility: 2.500% to 2.675% per annum on the unused portion of the Credit Facility at or below 35% of the commitments and 0.50% per annum on any remaining unused portion of the Credit Facility between the total commitments and the 35% minimum utilization. The Credit Facility is secured by a first priority security interest in all of our assets, excluding the assets of our SBIC subsidiaries. </w:t>
      </w:r>
    </w:p>
    <w:p>
      <w:pPr>
        <w:pStyle w:val="TextBody"/>
        <w:bidi w:val="0"/>
        <w:spacing w:before="240" w:after="0"/>
        <w:jc w:val="left"/>
        <w:rPr>
          <w:rFonts w:ascii="Times New Roman" w:hAnsi="Times New Roman"/>
          <w:sz w:val="20"/>
        </w:rPr>
      </w:pPr>
      <w:r>
        <w:rPr>
          <w:rFonts w:ascii="Times New Roman" w:hAnsi="Times New Roman"/>
          <w:sz w:val="20"/>
        </w:rPr>
        <w:t xml:space="preserve">Amounts available to borrow under the Credit Facility are subject to a minimum borrowing/collateral base that applies an advance rate to certain investments held by us, excluding investments held by the Funds. We are subject to limitations with respect to the investments securing the Credit Facility, including, but not limited to, restrictions on sector concentrations, loan size, payment frequency and status and collateral interests, as well as restrictions on portfolio company leverage, which may also affect the borrowing base and therefore amounts available to borrow. </w:t>
      </w:r>
    </w:p>
    <w:p>
      <w:pPr>
        <w:pStyle w:val="TextBody"/>
        <w:bidi w:val="0"/>
        <w:spacing w:before="240" w:after="0"/>
        <w:jc w:val="left"/>
        <w:rPr>
          <w:rFonts w:ascii="Times New Roman" w:hAnsi="Times New Roman"/>
          <w:sz w:val="20"/>
        </w:rPr>
      </w:pPr>
      <w:r>
        <w:rPr>
          <w:rFonts w:ascii="Times New Roman" w:hAnsi="Times New Roman"/>
          <w:sz w:val="20"/>
        </w:rPr>
        <w:t xml:space="preserve">We have made customary representations and warranties and we are required to comply with various covenants, reporting requirements and other customary requirements for similar credit facilities. These covenants are subject to important limitations and exceptions that are described in the documents governing the Credit Facility. As of March 31, 2024, we were in compliance in all material respects with the terms of the Credit Agreement and the Company had $22.5 million of borrowings outstanding under the Credit Facility. </w:t>
      </w:r>
    </w:p>
    <w:p>
      <w:pPr>
        <w:pStyle w:val="TextBody"/>
        <w:bidi w:val="0"/>
        <w:spacing w:before="360" w:after="0"/>
        <w:jc w:val="left"/>
        <w:rPr>
          <w:rFonts w:ascii="Times New Roman" w:hAnsi="Times New Roman"/>
          <w:b/>
          <w:sz w:val="20"/>
        </w:rPr>
      </w:pPr>
      <w:r>
        <w:rPr>
          <w:rFonts w:ascii="Times New Roman" w:hAnsi="Times New Roman"/>
          <w:b/>
          <w:sz w:val="20"/>
        </w:rPr>
        <w:t xml:space="preserve">Outstanding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shows our outstanding classes of securities as of March 31, 2024: </w:t>
      </w:r>
    </w:p>
    <w:p>
      <w:pPr>
        <w:pStyle w:val="TextBody"/>
        <w:bidi w:val="0"/>
        <w:spacing w:before="0" w:after="0"/>
        <w:jc w:val="left"/>
        <w:rPr/>
      </w:pPr>
      <w:r>
        <w:rPr/>
        <w:t> </w:t>
      </w:r>
    </w:p>
    <w:tbl>
      <w:tblPr>
        <w:tblW w:w="6410" w:type="dxa"/>
        <w:jc w:val="left"/>
        <w:tblInd w:w="0" w:type="dxa"/>
        <w:tblLayout w:type="fixed"/>
        <w:tblCellMar>
          <w:top w:w="0" w:type="dxa"/>
          <w:left w:w="0" w:type="dxa"/>
          <w:bottom w:w="0" w:type="dxa"/>
          <w:right w:w="0" w:type="dxa"/>
        </w:tblCellMar>
      </w:tblPr>
      <w:tblGrid>
        <w:gridCol w:w="1370"/>
        <w:gridCol w:w="120"/>
        <w:gridCol w:w="1730"/>
        <w:gridCol w:w="60"/>
        <w:gridCol w:w="95"/>
        <w:gridCol w:w="1080"/>
        <w:gridCol w:w="60"/>
        <w:gridCol w:w="120"/>
        <w:gridCol w:w="1775"/>
      </w:tblGrid>
      <w:tr>
        <w:trPr/>
        <w:tc>
          <w:tcPr>
            <w:tcW w:w="13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r>
      <w:tr>
        <w:trPr/>
        <w:tc>
          <w:tcPr>
            <w:tcW w:w="137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 Title of Class</w:t>
            </w:r>
          </w:p>
        </w:tc>
        <w:tc>
          <w:tcPr>
            <w:tcW w:w="120" w:type="dxa"/>
            <w:tcBorders/>
            <w:vAlign w:val="center"/>
          </w:tcPr>
          <w:p>
            <w:pPr>
              <w:pStyle w:val="TableContents"/>
              <w:bidi w:val="0"/>
              <w:spacing w:before="0" w:after="283"/>
              <w:jc w:val="left"/>
              <w:rPr/>
            </w:pPr>
            <w:r>
              <w:rPr/>
              <w:t>  </w:t>
            </w:r>
          </w:p>
        </w:tc>
        <w:tc>
          <w:tcPr>
            <w:tcW w:w="1730" w:type="dxa"/>
            <w:tcBorders>
              <w:bottom w:val="single" w:sz="8" w:space="0" w:color="000000"/>
            </w:tcBorders>
            <w:tcMar>
              <w:bottom w:w="28" w:type="dxa"/>
            </w:tcMar>
            <w:vAlign w:val="center"/>
          </w:tcPr>
          <w:p>
            <w:pPr>
              <w:pStyle w:val="TableContents"/>
              <w:bidi w:val="0"/>
              <w:spacing w:before="0" w:after="283"/>
              <w:jc w:val="center"/>
              <w:rPr>
                <w:b/>
              </w:rPr>
            </w:pPr>
            <w:r>
              <w:rPr>
                <w:b/>
              </w:rPr>
              <w:t>(b) Amount</w:t>
              <w:br/>
              <w:t>Authorized</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pPr>
            <w:r>
              <w:rPr>
                <w:b/>
              </w:rPr>
              <w:t>(c) Amount</w:t>
              <w:br/>
              <w:t>Held by</w:t>
            </w:r>
            <w:r>
              <w:rPr/>
              <w:br/>
            </w:r>
            <w:r>
              <w:rPr>
                <w:b/>
              </w:rPr>
              <w:t>us or</w:t>
              <w:br/>
              <w:t>for Our</w:t>
              <w:br/>
              <w:t>Account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5" w:type="dxa"/>
            <w:tcBorders>
              <w:bottom w:val="single" w:sz="8" w:space="0" w:color="000000"/>
            </w:tcBorders>
            <w:tcMar>
              <w:bottom w:w="28" w:type="dxa"/>
            </w:tcMar>
            <w:vAlign w:val="center"/>
          </w:tcPr>
          <w:p>
            <w:pPr>
              <w:pStyle w:val="TableContents"/>
              <w:bidi w:val="0"/>
              <w:spacing w:before="0" w:after="283"/>
              <w:jc w:val="center"/>
              <w:rPr/>
            </w:pPr>
            <w:r>
              <w:rPr>
                <w:b/>
              </w:rPr>
              <w:t>(d) Amount</w:t>
              <w:br/>
              <w:t>Outstanding</w:t>
            </w:r>
            <w:r>
              <w:rPr/>
              <w:br/>
            </w:r>
            <w:r>
              <w:rPr>
                <w:b/>
              </w:rPr>
              <w:t>Exclusive of</w:t>
              <w:br/>
              <w:t>Amounts</w:t>
            </w:r>
            <w:r>
              <w:rPr/>
              <w:br/>
            </w:r>
            <w:r>
              <w:rPr>
                <w:b/>
              </w:rPr>
              <w:t>Shown Under (c)</w:t>
            </w:r>
          </w:p>
        </w:tc>
      </w:tr>
      <w:tr>
        <w:trPr/>
        <w:tc>
          <w:tcPr>
            <w:tcW w:w="13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Common Stock</w:t>
            </w:r>
          </w:p>
        </w:tc>
        <w:tc>
          <w:tcPr>
            <w:tcW w:w="120"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283"/>
              <w:jc w:val="center"/>
              <w:rPr/>
            </w:pPr>
            <w:r>
              <w:rPr/>
              <w:t>100,000,000</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70,540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center"/>
              <w:rPr/>
            </w:pPr>
            <w:r>
              <w:rPr/>
              <w:t>31,426,149</w:t>
            </w:r>
          </w:p>
        </w:tc>
      </w:tr>
      <w:tr>
        <w:trPr/>
        <w:tc>
          <w:tcPr>
            <w:tcW w:w="1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SBA Debentures</w:t>
            </w:r>
          </w:p>
        </w:tc>
        <w:tc>
          <w:tcPr>
            <w:tcW w:w="12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center"/>
              <w:rPr/>
            </w:pPr>
            <w:r>
              <w:rPr/>
              <w:t>$325.0 million (1)</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$175.0 million</w:t>
            </w:r>
          </w:p>
        </w:tc>
      </w:tr>
      <w:tr>
        <w:trPr/>
        <w:tc>
          <w:tcPr>
            <w:tcW w:w="13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Credit Facility</w:t>
            </w:r>
          </w:p>
        </w:tc>
        <w:tc>
          <w:tcPr>
            <w:tcW w:w="120"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283"/>
              <w:jc w:val="center"/>
              <w:rPr/>
            </w:pPr>
            <w:r>
              <w:rPr/>
              <w:t>$100.0 million</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center"/>
              <w:rPr/>
            </w:pPr>
            <w:r>
              <w:rPr/>
              <w:t>$22.5 million</w:t>
            </w:r>
          </w:p>
        </w:tc>
      </w:tr>
      <w:tr>
        <w:trPr/>
        <w:tc>
          <w:tcPr>
            <w:tcW w:w="1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Notes</w:t>
            </w:r>
          </w:p>
        </w:tc>
        <w:tc>
          <w:tcPr>
            <w:tcW w:w="12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center"/>
              <w:rPr/>
            </w:pPr>
            <w:r>
              <w:rPr/>
              <w:t>$250.0 million</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$250.0 million</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8"/>
        <w:gridCol w:w="9897"/>
      </w:tblGrid>
      <w:tr>
        <w:trPr/>
        <w:tc>
          <w:tcPr>
            <w:tcW w:w="308" w:type="dxa"/>
            <w:tcBorders/>
            <w:vAlign w:val="center"/>
          </w:tcPr>
          <w:p>
            <w:pPr>
              <w:pStyle w:val="TableContents"/>
              <w:bidi w:val="0"/>
              <w:spacing w:before="0" w:after="283"/>
              <w:jc w:val="left"/>
              <w:rPr/>
            </w:pPr>
            <w:r>
              <w:rPr/>
              <w:t>(1) </w:t>
            </w:r>
          </w:p>
        </w:tc>
        <w:tc>
          <w:tcPr>
            <w:tcW w:w="989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more information regarding our limitations as to SBA debenture issuances, see “Regulation — Small Business Administration Regulations” in our most recent Annual Report on Form 10-K.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Limitation on Liability of Directors and Officers; Indemnification and Advance of Expenses </w:t>
      </w:r>
    </w:p>
    <w:p>
      <w:pPr>
        <w:pStyle w:val="TextBody"/>
        <w:bidi w:val="0"/>
        <w:spacing w:before="120" w:after="0"/>
        <w:jc w:val="left"/>
        <w:rPr>
          <w:rFonts w:ascii="Times New Roman" w:hAnsi="Times New Roman"/>
          <w:sz w:val="20"/>
        </w:rPr>
      </w:pPr>
      <w:r>
        <w:rPr>
          <w:rFonts w:ascii="Times New Roman" w:hAnsi="Times New Roman"/>
          <w:sz w:val="20"/>
        </w:rPr>
        <w:t xml:space="preserve">Maryland law permits a Maryland corporation to include in its charter a provision limiting the liability of its directors and officers to the corporation and its stockholders for money damages except for liability resulting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from (a) actual receipt of an improper benefit or profit in money, property or services or (b) 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 </w:t>
      </w:r>
    </w:p>
    <w:p>
      <w:pPr>
        <w:pStyle w:val="TextBody"/>
        <w:bidi w:val="0"/>
        <w:spacing w:before="240" w:after="0"/>
        <w:jc w:val="left"/>
        <w:rPr>
          <w:rFonts w:ascii="Times New Roman" w:hAnsi="Times New Roman"/>
          <w:sz w:val="20"/>
        </w:rPr>
      </w:pPr>
      <w:r>
        <w:rPr>
          <w:rFonts w:ascii="Times New Roman" w:hAnsi="Times New Roman"/>
          <w:sz w:val="20"/>
        </w:rPr>
        <w:t xml:space="preserve">Our charter authorizes us, to the maximum extent permitted by Maryland law and subject to the requirements of the 1940 Act, to indemnify any present or former director or officer or any individual who, while serving as our director or officer and at our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 Our bylaws obligate us, to the maximum extent permitted by Maryland law and subject to the requirements of the 1940 Act, to indemnify any present or former director or officer or any individual who, while serving as our director or officer and at our request, serves or has served another corporation, real estate investment trust, partnership, joint venture, trust, employee benefit plan or other enterprise as a director, officer, partner or trustee and who is made, or threatened to be made, a party to the proceeding by reason of his or her service in that capacity from and against any claim or liability to which that person may become subject or which that person may incur by reason of his or her service in any such capacity and to pay or reimburse his or her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 </w:t>
      </w:r>
    </w:p>
    <w:p>
      <w:pPr>
        <w:pStyle w:val="TextBody"/>
        <w:bidi w:val="0"/>
        <w:spacing w:before="240" w:after="0"/>
        <w:jc w:val="left"/>
        <w:rPr>
          <w:rFonts w:ascii="Times New Roman" w:hAnsi="Times New Roman"/>
          <w:sz w:val="20"/>
        </w:rPr>
      </w:pPr>
      <w:r>
        <w:rPr>
          <w:rFonts w:ascii="Times New Roman" w:hAnsi="Times New Roman"/>
          <w:sz w:val="20"/>
        </w:rPr>
        <w:t xml:space="preserve">Maryland law requires a corporation (unless its charter provides otherwise, which our charter does not) to indemnify a director or officer who has been successful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in advance of final disposition of a proceeding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indemnification agreements with our directors. The indemnification agreements provide our directors the maximum indemnification permitted under Maryland law and the 1940 Act. </w:t>
      </w:r>
    </w:p>
    <w:p>
      <w:pPr>
        <w:pStyle w:val="TextBody"/>
        <w:bidi w:val="0"/>
        <w:spacing w:before="240" w:after="0"/>
        <w:jc w:val="left"/>
        <w:rPr>
          <w:rFonts w:ascii="Times New Roman" w:hAnsi="Times New Roman"/>
          <w:sz w:val="20"/>
        </w:rPr>
      </w:pPr>
      <w:r>
        <w:rPr>
          <w:rFonts w:ascii="Times New Roman" w:hAnsi="Times New Roman"/>
          <w:sz w:val="20"/>
        </w:rPr>
        <w:t xml:space="preserve">We have purchased directors’ and officers’ insurance policies covering our directors and officers and us for any acts and omissions committed, attempted or allegedly committed by any director or officer during the policy period. The policy is subject to customary exclusions.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Certain Provisions of the Maryland General Corporation Law and Our Charter and Bylaws </w:t>
      </w:r>
    </w:p>
    <w:p>
      <w:pPr>
        <w:pStyle w:val="TextBody"/>
        <w:bidi w:val="0"/>
        <w:spacing w:before="120" w:after="0"/>
        <w:jc w:val="left"/>
        <w:rPr>
          <w:rFonts w:ascii="Times New Roman" w:hAnsi="Times New Roman"/>
          <w:sz w:val="20"/>
        </w:rPr>
      </w:pPr>
      <w:r>
        <w:rPr>
          <w:rFonts w:ascii="Times New Roman" w:hAnsi="Times New Roman"/>
          <w:sz w:val="20"/>
        </w:rPr>
        <w:t xml:space="preserve">The Maryland General Corporation Law and our charter and bylaws contain provisions that could make it more difficult for a potential acquiror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 </w:t>
      </w:r>
    </w:p>
    <w:p>
      <w:pPr>
        <w:pStyle w:val="TextBody"/>
        <w:bidi w:val="0"/>
        <w:spacing w:before="360" w:after="0"/>
        <w:jc w:val="left"/>
        <w:rPr>
          <w:rFonts w:ascii="Times New Roman" w:hAnsi="Times New Roman"/>
          <w:b/>
          <w:sz w:val="20"/>
        </w:rPr>
      </w:pPr>
      <w:r>
        <w:rPr>
          <w:rFonts w:ascii="Times New Roman" w:hAnsi="Times New Roman"/>
          <w:b/>
          <w:sz w:val="20"/>
        </w:rPr>
        <w:t xml:space="preserve">Classified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is divided into three classes of directors serving staggered three-year terms. The terms of the first, second and third classes expire in 2024, 2025 and 2026, respectively, and in each case, those directors will serve until their successors are elected and qualify. Directors of each class will be elected to serve for three-year terms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 </w:t>
      </w:r>
    </w:p>
    <w:p>
      <w:pPr>
        <w:pStyle w:val="TextBody"/>
        <w:bidi w:val="0"/>
        <w:spacing w:before="360" w:after="0"/>
        <w:jc w:val="left"/>
        <w:rPr>
          <w:rFonts w:ascii="Times New Roman" w:hAnsi="Times New Roman"/>
          <w:b/>
          <w:sz w:val="20"/>
        </w:rPr>
      </w:pPr>
      <w:r>
        <w:rPr>
          <w:rFonts w:ascii="Times New Roman" w:hAnsi="Times New Roman"/>
          <w:b/>
          <w:sz w:val="20"/>
        </w:rPr>
        <w:t xml:space="preserve">Election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charter and bylaws provide that the affirmative vote of the holders of a plurality of the outstanding shares of stock entitled to vote in the election of directors cast at a meeting of stockholders duly called and at which a quorum is present is required to elect a director. Pursuant to our bylaws our board of directors may amend the bylaws to alter the vote required to elect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Number of Directors; Vacancies; Removal </w:t>
      </w:r>
    </w:p>
    <w:p>
      <w:pPr>
        <w:pStyle w:val="TextBody"/>
        <w:bidi w:val="0"/>
        <w:spacing w:before="120" w:after="0"/>
        <w:jc w:val="left"/>
        <w:rPr>
          <w:rFonts w:ascii="Times New Roman" w:hAnsi="Times New Roman"/>
          <w:sz w:val="20"/>
        </w:rPr>
      </w:pPr>
      <w:r>
        <w:rPr>
          <w:rFonts w:ascii="Times New Roman" w:hAnsi="Times New Roman"/>
          <w:sz w:val="20"/>
        </w:rPr>
        <w:t xml:space="preserve">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one nor more than eight.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 </w:t>
      </w:r>
    </w:p>
    <w:p>
      <w:pPr>
        <w:pStyle w:val="TextBody"/>
        <w:bidi w:val="0"/>
        <w:spacing w:before="240" w:after="0"/>
        <w:jc w:val="left"/>
        <w:rPr>
          <w:rFonts w:ascii="Times New Roman" w:hAnsi="Times New Roman"/>
          <w:sz w:val="20"/>
        </w:rPr>
      </w:pPr>
      <w:r>
        <w:rPr>
          <w:rFonts w:ascii="Times New Roman" w:hAnsi="Times New Roman"/>
          <w:sz w:val="20"/>
        </w:rPr>
        <w:t xml:space="preserve">Our charter provides that a director may be removed only for cause, as defined in our charter, and then only by the affirmative vote of at least two-thirds of the votes entitled to be cast in the election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Action by Stockholders </w:t>
      </w:r>
    </w:p>
    <w:p>
      <w:pPr>
        <w:pStyle w:val="TextBody"/>
        <w:bidi w:val="0"/>
        <w:spacing w:before="120" w:after="0"/>
        <w:jc w:val="left"/>
        <w:rPr>
          <w:rFonts w:ascii="Times New Roman" w:hAnsi="Times New Roman"/>
          <w:sz w:val="20"/>
        </w:rPr>
      </w:pPr>
      <w:r>
        <w:rPr>
          <w:rFonts w:ascii="Times New Roman" w:hAnsi="Times New Roman"/>
          <w:sz w:val="20"/>
        </w:rPr>
        <w:t xml:space="preserve">Under the Maryland General Corporation Law, stockholder action can be taken only at an annual or special meeting of stockholders or (unless the charter provides for stockholder action by less than unanimous written consent, which our charter does not) by unanimous written consent in lieu of a meeting. These provisions, combined with the requirements of our bylaws regarding the calling of a stockholder-requested special meeting of stockholders discussed below, may have the effect of delaying consideration of a stockholder proposal until the next annual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Advance Notice Provisions for Stockholder Nominations and Stockholder Proposals </w:t>
      </w:r>
    </w:p>
    <w:p>
      <w:pPr>
        <w:pStyle w:val="TextBody"/>
        <w:bidi w:val="0"/>
        <w:spacing w:before="120" w:after="0"/>
        <w:jc w:val="left"/>
        <w:rPr>
          <w:rFonts w:ascii="Times New Roman" w:hAnsi="Times New Roman"/>
          <w:sz w:val="20"/>
        </w:rPr>
      </w:pPr>
      <w:r>
        <w:rPr>
          <w:rFonts w:ascii="Times New Roman" w:hAnsi="Times New Roman"/>
          <w:sz w:val="20"/>
        </w:rPr>
        <w:t xml:space="preserve">Our bylaws provide that with respect to an annual meeting of stockholders, nominations of persons for election to the board of directors and the proposal of business to be considered by stockholders may be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only (a) pursuant to our notice of the meeting, (b) by the board of directors or (c) by a stockholder who was a stockholder of record both at the time of giving notice and at the time of the annual meeting and who is entitled to vote at the meeting and who has complied with the advance notice procedures of our bylaws. With respect to special meetings of stockholders, only the business specified in our notice of the meeting may be brought before the meeting. Nominations of persons for election to the board of directors at a special meeting may be made only (a) pursuant to our notice of the meeting, (b) by the board of directors or (c) provided that the board of directors has determined that directors will be elected at the meeting, by a stockholder who was a stockholder of record both at the time of giving notice and at the time of the annual meeting and who is entitled to vote at the meeting and who has complied with the advance notice provisions of our bylaws.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(a) precluding a contest for the election of directors or the consideration of stockholder proposals if proper procedures are not followed and (b) discouraging or deterring a third party from conducting a solicitation of proxies to elect its own slate of directors or to approve its own proposal without regard to whether consideration of such nominees or proposals might be harmful or beneficial to us and our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Calling of Special Meetings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Our bylaws provide that special meetings of stockholders may be called by the chairman of our board of directors, our President or our board of directors. Additionally, our bylaws provide that, subject to the satisfaction of certain procedural and informational requirements by the stockholders requesting the special meeting, a special meeting of stockholders will be called by the secretary of the corporation upon the written request of stockholders entitled to cast not less than a majority of all the votes entitled to be cast at such meeting. </w:t>
      </w:r>
    </w:p>
    <w:p>
      <w:pPr>
        <w:pStyle w:val="TextBody"/>
        <w:bidi w:val="0"/>
        <w:spacing w:before="360" w:after="0"/>
        <w:jc w:val="left"/>
        <w:rPr>
          <w:rFonts w:ascii="Times New Roman" w:hAnsi="Times New Roman"/>
          <w:b/>
          <w:sz w:val="20"/>
        </w:rPr>
      </w:pPr>
      <w:r>
        <w:rPr>
          <w:rFonts w:ascii="Times New Roman" w:hAnsi="Times New Roman"/>
          <w:b/>
          <w:sz w:val="20"/>
        </w:rPr>
        <w:t xml:space="preserve">Approval of Extraordinary Corporate Action; Amendment of Charter and Bylaws </w:t>
      </w:r>
    </w:p>
    <w:p>
      <w:pPr>
        <w:pStyle w:val="TextBody"/>
        <w:bidi w:val="0"/>
        <w:spacing w:before="120" w:after="0"/>
        <w:jc w:val="left"/>
        <w:rPr>
          <w:rFonts w:ascii="Times New Roman" w:hAnsi="Times New Roman"/>
          <w:sz w:val="20"/>
        </w:rPr>
      </w:pPr>
      <w:r>
        <w:rPr>
          <w:rFonts w:ascii="Times New Roman" w:hAnsi="Times New Roman"/>
          <w:sz w:val="20"/>
        </w:rPr>
        <w:t xml:space="preserve">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provides that certain charter amendments, any proposal for our conversion, whether by charter amendment, merger or otherwise, from a closed-end company to an open-end company and any proposal for our liquidation or dissolution requires the approval of the stockholders entitled to cast at least 80.0% of the votes entitled to be cast on such matter. However, if such amendment or proposal is approved by a majority of our continuing directors (in addition to approval by our board of directors), such amendment or proposal may be approved by a majority of the votes entitled to be cast on such a matter. The “continuing directors” are defined in our charter as (a) our current directors, (b) those directors whose nomination for election by the stockholders or whose election by the directors to fill vacancies is approved by a majority of our current directors then on the board of directors or (c) any successor directors whose nomination for election by the stockholders or whose election by the directors to fill vacancies is approved by a majority of the continuing directors or the successor continuing directors then in office. </w:t>
      </w:r>
    </w:p>
    <w:p>
      <w:pPr>
        <w:pStyle w:val="TextBody"/>
        <w:bidi w:val="0"/>
        <w:spacing w:before="240" w:after="0"/>
        <w:jc w:val="left"/>
        <w:rPr>
          <w:rFonts w:ascii="Times New Roman" w:hAnsi="Times New Roman"/>
          <w:sz w:val="20"/>
        </w:rPr>
      </w:pPr>
      <w:r>
        <w:rPr>
          <w:rFonts w:ascii="Times New Roman" w:hAnsi="Times New Roman"/>
          <w:sz w:val="20"/>
        </w:rPr>
        <w:t xml:space="preserve">Our charter and bylaws provide that the board of directors has the exclusive power to make, alter, amend or repeal any provision of our bylaws.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No Appraisal Rights </w:t>
      </w:r>
    </w:p>
    <w:p>
      <w:pPr>
        <w:pStyle w:val="TextBody"/>
        <w:bidi w:val="0"/>
        <w:spacing w:before="120" w:after="0"/>
        <w:jc w:val="left"/>
        <w:rPr>
          <w:rFonts w:ascii="Times New Roman" w:hAnsi="Times New Roman"/>
          <w:sz w:val="20"/>
        </w:rPr>
      </w:pPr>
      <w:r>
        <w:rPr>
          <w:rFonts w:ascii="Times New Roman" w:hAnsi="Times New Roman"/>
          <w:sz w:val="20"/>
        </w:rPr>
        <w:t xml:space="preserve">Except with respect to appraisal rights arising in connection with the Control Share Act discussed below, as permitted by the Maryland General Corporation Law, our charter provides that stockholders will not be entitled to exercise appraisal rights unless a majority of the board of directors shall determine such rights apply. </w:t>
      </w:r>
    </w:p>
    <w:p>
      <w:pPr>
        <w:pStyle w:val="TextBody"/>
        <w:bidi w:val="0"/>
        <w:spacing w:before="360" w:after="0"/>
        <w:jc w:val="left"/>
        <w:rPr>
          <w:rFonts w:ascii="Times New Roman" w:hAnsi="Times New Roman"/>
          <w:b/>
          <w:sz w:val="20"/>
        </w:rPr>
      </w:pPr>
      <w:r>
        <w:rPr>
          <w:rFonts w:ascii="Times New Roman" w:hAnsi="Times New Roman"/>
          <w:b/>
          <w:sz w:val="20"/>
        </w:rPr>
        <w:t xml:space="preserve">Control Share Acquisitions </w:t>
      </w:r>
    </w:p>
    <w:p>
      <w:pPr>
        <w:pStyle w:val="TextBody"/>
        <w:bidi w:val="0"/>
        <w:spacing w:before="120" w:after="0"/>
        <w:jc w:val="left"/>
        <w:rPr>
          <w:rFonts w:ascii="Times New Roman" w:hAnsi="Times New Roman"/>
          <w:sz w:val="20"/>
        </w:rPr>
      </w:pPr>
      <w:r>
        <w:rPr>
          <w:rFonts w:ascii="Times New Roman" w:hAnsi="Times New Roman"/>
          <w:sz w:val="20"/>
        </w:rPr>
        <w:t xml:space="preserve">The Maryland General Corporation Law provides that control shares of a Maryland corporation acquired in a control share acquisition have no voting rights except to the extent approved by a vote of two-thirds of the votes entitled to be cast on the matter (the “Control Share Act”). Shares owned by the acquiror, by officers or by directors who are employees of the corporation are excluded from shares entitled to vote on the matter. Control shares are voting shares of stock which, if aggregated with all other shares of stock owned by the acquiror or in respect of which the acquiror is able to exercise or direct the exercise of voting power (except solely by virtue of a revocable proxy), would entitle the acquiror to exercise voting power in electing directors within one of the following ranges of voting power: </w:t>
      </w:r>
    </w:p>
    <w:p>
      <w:pPr>
        <w:pStyle w:val="TextBody"/>
        <w:bidi w:val="0"/>
        <w:spacing w:before="0" w:after="0"/>
        <w:jc w:val="left"/>
        <w:rPr/>
      </w:pPr>
      <w:r>
        <w:rPr/>
        <w:t> </w:t>
      </w:r>
    </w:p>
    <w:tbl>
      <w:tblPr>
        <w:tblW w:w="3685" w:type="dxa"/>
        <w:jc w:val="left"/>
        <w:tblInd w:w="0" w:type="dxa"/>
        <w:tblLayout w:type="fixed"/>
        <w:tblCellMar>
          <w:top w:w="0" w:type="dxa"/>
          <w:left w:w="0" w:type="dxa"/>
          <w:bottom w:w="0" w:type="dxa"/>
          <w:right w:w="0" w:type="dxa"/>
        </w:tblCellMar>
      </w:tblPr>
      <w:tblGrid>
        <w:gridCol w:w="75"/>
        <w:gridCol w:w="110"/>
        <w:gridCol w:w="60"/>
        <w:gridCol w:w="34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one-tenth or more but less than one-third; </w:t>
            </w:r>
          </w:p>
        </w:tc>
      </w:tr>
    </w:tbl>
    <w:p>
      <w:pPr>
        <w:pStyle w:val="TextBody"/>
        <w:bidi w:val="0"/>
        <w:spacing w:before="0" w:after="0"/>
        <w:jc w:val="left"/>
        <w:rPr/>
      </w:pPr>
      <w:r>
        <w:rPr/>
        <w:t> </w:t>
      </w:r>
    </w:p>
    <w:tbl>
      <w:tblPr>
        <w:tblW w:w="3940" w:type="dxa"/>
        <w:jc w:val="left"/>
        <w:tblInd w:w="0" w:type="dxa"/>
        <w:tblLayout w:type="fixed"/>
        <w:tblCellMar>
          <w:top w:w="0" w:type="dxa"/>
          <w:left w:w="0" w:type="dxa"/>
          <w:bottom w:w="0" w:type="dxa"/>
          <w:right w:w="0" w:type="dxa"/>
        </w:tblCellMar>
      </w:tblPr>
      <w:tblGrid>
        <w:gridCol w:w="75"/>
        <w:gridCol w:w="110"/>
        <w:gridCol w:w="60"/>
        <w:gridCol w:w="36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one-third or more but less than a majority; or </w:t>
            </w:r>
          </w:p>
        </w:tc>
      </w:tr>
    </w:tbl>
    <w:p>
      <w:pPr>
        <w:pStyle w:val="TextBody"/>
        <w:bidi w:val="0"/>
        <w:spacing w:before="0" w:after="0"/>
        <w:jc w:val="left"/>
        <w:rPr/>
      </w:pPr>
      <w:r>
        <w:rPr/>
        <w:t> </w:t>
      </w:r>
    </w:p>
    <w:tbl>
      <w:tblPr>
        <w:tblW w:w="3445" w:type="dxa"/>
        <w:jc w:val="left"/>
        <w:tblInd w:w="0" w:type="dxa"/>
        <w:tblLayout w:type="fixed"/>
        <w:tblCellMar>
          <w:top w:w="0" w:type="dxa"/>
          <w:left w:w="0" w:type="dxa"/>
          <w:bottom w:w="0" w:type="dxa"/>
          <w:right w:w="0" w:type="dxa"/>
        </w:tblCellMar>
      </w:tblPr>
      <w:tblGrid>
        <w:gridCol w:w="75"/>
        <w:gridCol w:w="110"/>
        <w:gridCol w:w="60"/>
        <w:gridCol w:w="32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majority or more of all voting power.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requisite stockholder approval must be obtained each time an acquiror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 </w:t>
      </w:r>
    </w:p>
    <w:p>
      <w:pPr>
        <w:pStyle w:val="TextBody"/>
        <w:bidi w:val="0"/>
        <w:spacing w:before="240" w:after="0"/>
        <w:jc w:val="left"/>
        <w:rPr>
          <w:rFonts w:ascii="Times New Roman" w:hAnsi="Times New Roman"/>
          <w:sz w:val="20"/>
        </w:rPr>
      </w:pPr>
      <w:r>
        <w:rPr>
          <w:rFonts w:ascii="Times New Roman" w:hAnsi="Times New Roman"/>
          <w:sz w:val="20"/>
        </w:rPr>
        <w:t xml:space="preserve">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 </w:t>
      </w:r>
    </w:p>
    <w:p>
      <w:pPr>
        <w:pStyle w:val="TextBody"/>
        <w:bidi w:val="0"/>
        <w:spacing w:before="240" w:after="0"/>
        <w:jc w:val="left"/>
        <w:rPr>
          <w:rFonts w:ascii="Times New Roman" w:hAnsi="Times New Roman"/>
          <w:sz w:val="20"/>
        </w:rPr>
      </w:pPr>
      <w:r>
        <w:rPr>
          <w:rFonts w:ascii="Times New Roman" w:hAnsi="Times New Roman"/>
          <w:sz w:val="20"/>
        </w:rPr>
        <w:t xml:space="preserve">If voting rights are not approved at the meeting or if the acquiring person does not deliver an acquiring person statement as required by the statute, then the corporation may redeem for fair value any or all of the control shares, except those for which voting rights have previously been approved. The right of the corporation to redeem control shares is subject to certain conditions and limitations, including, as provided in our bylaws compliance with the 1940 Act. Fair value is determined, without regard to the absence of voting rights for the control shares, as of the date of the last control share acquisition by the acquiror or of any meeting of stockholders at which the voting rights of the shares are considered and not approved. If voting rights for control shares are approved at a stockholders meeting and the acquiror becomes entitled to vote a majority of the shares entitled to vote, all other stockholders may exercise appraisal rights. The fair value of the shares as determined for purposes of appraisal rights may not be less than the highest price per share paid by the acquiror in the control share acquisition. </w:t>
      </w:r>
    </w:p>
    <w:p>
      <w:pPr>
        <w:pStyle w:val="TextBody"/>
        <w:bidi w:val="0"/>
        <w:spacing w:before="240" w:after="0"/>
        <w:jc w:val="left"/>
        <w:rPr>
          <w:rFonts w:ascii="Times New Roman" w:hAnsi="Times New Roman"/>
          <w:sz w:val="20"/>
        </w:rPr>
      </w:pPr>
      <w:r>
        <w:rPr>
          <w:rFonts w:ascii="Times New Roman" w:hAnsi="Times New Roman"/>
          <w:sz w:val="20"/>
        </w:rPr>
        <w:t xml:space="preserve">The Control Share Act does not apply (a) to shares acquired in a merger, consolidation or share exchange if the corporation is a party to the transaction or (b) to acquisitions approved or exempted by the charter or bylaws of the corporation. Our bylaws contain a provision exempting from the Control Share Act any and all acquisitions by any person of our shares of stock. There can be no assurance that such provision will not be amended or eliminated at any time in the future. However, we will amend our bylaws to be subject to the Control Share Act only if the board of directors determines that it would be in our best interests and if the SEC staff does not object to our determination that our being subject to the Control Share Act does not conflict with the 1940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Business Combinations </w:t>
      </w:r>
    </w:p>
    <w:p>
      <w:pPr>
        <w:pStyle w:val="TextBody"/>
        <w:bidi w:val="0"/>
        <w:spacing w:before="120" w:after="0"/>
        <w:jc w:val="left"/>
        <w:rPr>
          <w:rFonts w:ascii="Times New Roman" w:hAnsi="Times New Roman"/>
          <w:sz w:val="20"/>
        </w:rPr>
      </w:pPr>
      <w:r>
        <w:rPr>
          <w:rFonts w:ascii="Times New Roman" w:hAnsi="Times New Roman"/>
          <w:sz w:val="20"/>
        </w:rPr>
        <w:t xml:space="preserve">Under Maryland law, “business combinations” between a Maryland corporation and an interested stockholder or an affiliate of an interested stockholder are prohibited for five years after the most recent date on which the interested stockholder becomes an interested stockholder (the “Business Combination Act”). These business combinations include a merger, consolidation, share exchange or, in circumstances specified in the statute, an asset transfer or issuance or reclassification of equity securities. An interested stockholder is defined as: </w:t>
      </w:r>
    </w:p>
    <w:p>
      <w:pPr>
        <w:pStyle w:val="TextBody"/>
        <w:bidi w:val="0"/>
        <w:spacing w:before="0" w:after="0"/>
        <w:jc w:val="left"/>
        <w:rPr/>
      </w:pPr>
      <w:r>
        <w:rPr/>
        <w:t> </w:t>
      </w:r>
    </w:p>
    <w:tbl>
      <w:tblPr>
        <w:tblW w:w="9940" w:type="dxa"/>
        <w:jc w:val="left"/>
        <w:tblInd w:w="0" w:type="dxa"/>
        <w:tblLayout w:type="fixed"/>
        <w:tblCellMar>
          <w:top w:w="0" w:type="dxa"/>
          <w:left w:w="0" w:type="dxa"/>
          <w:bottom w:w="0" w:type="dxa"/>
          <w:right w:w="0" w:type="dxa"/>
        </w:tblCellMar>
      </w:tblPr>
      <w:tblGrid>
        <w:gridCol w:w="75"/>
        <w:gridCol w:w="110"/>
        <w:gridCol w:w="60"/>
        <w:gridCol w:w="96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person who beneficially owns 10.0% or more of the voting power of the corporation’s outstanding voting stock;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affiliate or associate of the corporation who, at any time within the two-year period prior to the date in question, was the beneficial owner of 10.0% or more of the voting power of the then outstanding voting stock of the corporation.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person is not an interested stockholder under this statute if the board of directors approved in advance the transaction by which the stockholder otherwise would have become an interested stockholder. However, in approving a transaction, the board of directors may provide that its approval is subject to compliance, at or after the time of approval, with any terms and conditions determined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After the five-year prohibition, any business combination between the Maryland corporation and an interested stockholder generally must be recommended by the board of directors of the corporation and approved by the affirmative vote of at least: </w:t>
      </w:r>
    </w:p>
    <w:p>
      <w:pPr>
        <w:pStyle w:val="TextBody"/>
        <w:bidi w:val="0"/>
        <w:spacing w:before="0" w:after="0"/>
        <w:jc w:val="left"/>
        <w:rPr/>
      </w:pPr>
      <w:r>
        <w:rPr/>
        <w:t> </w:t>
      </w:r>
    </w:p>
    <w:tbl>
      <w:tblPr>
        <w:tblW w:w="9175" w:type="dxa"/>
        <w:jc w:val="left"/>
        <w:tblInd w:w="0" w:type="dxa"/>
        <w:tblLayout w:type="fixed"/>
        <w:tblCellMar>
          <w:top w:w="0" w:type="dxa"/>
          <w:left w:w="0" w:type="dxa"/>
          <w:bottom w:w="0" w:type="dxa"/>
          <w:right w:w="0" w:type="dxa"/>
        </w:tblCellMar>
      </w:tblPr>
      <w:tblGrid>
        <w:gridCol w:w="75"/>
        <w:gridCol w:w="110"/>
        <w:gridCol w:w="60"/>
        <w:gridCol w:w="89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80.0% of the votes entitled to be cast by holders of outstanding shares of voting stock of the corporation;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 </w:t>
      </w:r>
    </w:p>
    <w:p>
      <w:pPr>
        <w:pStyle w:val="TextBody"/>
        <w:bidi w:val="0"/>
        <w:spacing w:before="240" w:after="0"/>
        <w:jc w:val="left"/>
        <w:rPr>
          <w:rFonts w:ascii="Times New Roman" w:hAnsi="Times New Roman"/>
          <w:sz w:val="20"/>
        </w:rPr>
      </w:pPr>
      <w:r>
        <w:rPr>
          <w:rFonts w:ascii="Times New Roman" w:hAnsi="Times New Roman"/>
          <w:sz w:val="20"/>
        </w:rPr>
        <w:t xml:space="preserve">The statute permits various exemptions from its provisions, including business combinations that are exempted by the board of directors before the time that the interested stockholder becomes an interested stockholder. Our board of directors has adopted a resolution, subject to the provisions of the 1940 Act,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may be altered or repealed in whole or in part at any time; however, our board of directors will adopt resolutions so as to make us subject to the provisions of the Business Combination Act only if the board of directors determines that it would be in our best interests and if the SEC staff does not object to our determination that our being subject to the Business Combination Act does not conflict with the 1940 Act. If this resolution is repealed, or the board of directors does not otherwise approve a business combination, the statute may discourage others from trying to acquire control of us and increase the difficulty of consummating any offer. </w:t>
      </w:r>
    </w:p>
    <w:p>
      <w:pPr>
        <w:pStyle w:val="TextBody"/>
        <w:bidi w:val="0"/>
        <w:spacing w:before="360" w:after="0"/>
        <w:jc w:val="left"/>
        <w:rPr>
          <w:rFonts w:ascii="Times New Roman" w:hAnsi="Times New Roman"/>
          <w:b/>
          <w:sz w:val="20"/>
        </w:rPr>
      </w:pPr>
      <w:r>
        <w:rPr>
          <w:rFonts w:ascii="Times New Roman" w:hAnsi="Times New Roman"/>
          <w:b/>
          <w:sz w:val="20"/>
        </w:rPr>
        <w:t xml:space="preserve">Conflict with 1940 Act </w:t>
      </w:r>
    </w:p>
    <w:p>
      <w:pPr>
        <w:pStyle w:val="TextBody"/>
        <w:bidi w:val="0"/>
        <w:spacing w:before="120" w:after="0"/>
        <w:jc w:val="left"/>
        <w:rPr>
          <w:rFonts w:ascii="Times New Roman" w:hAnsi="Times New Roman"/>
          <w:sz w:val="20"/>
        </w:rPr>
      </w:pPr>
      <w:r>
        <w:rPr>
          <w:rFonts w:ascii="Times New Roman" w:hAnsi="Times New Roman"/>
          <w:sz w:val="20"/>
        </w:rPr>
        <w:t xml:space="preserve">Our bylaws provide that, if and to the extent that any provision of the Maryland General Corporation Law, including the Control Share Act (if we amend our bylaws to be subject to such Act) and the Business Combination Act, or any provision of our charter or bylaws conflicts with any provision of the 1940 Act, the applicable provision of the 1940 Act will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23" w:name="toc29698_22"/>
      <w:bookmarkEnd w:id="23"/>
      <w:r>
        <w:rPr>
          <w:rFonts w:ascii="Times New Roman" w:hAnsi="Times New Roman"/>
          <w:b/>
          <w:sz w:val="20"/>
        </w:rPr>
        <w:t xml:space="preserve">DESCRIPTION OF OUR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and conditions of redemption for each class or series. Thus, our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 Maryland law and any other limitations imposed by law.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general description of the terms of the preferred stock we may issue from time to time. Particular terms of any preferred stock we offer will be described in the prospectus supplement relating to such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If we issue preferred stock, it will pay dividends to the holders of the preferred stock at either a fixed rate or a rate that will be reset frequently based on short-term interest rates, as described in a prospectus supplement accompanying each preferred share offering. </w:t>
      </w:r>
    </w:p>
    <w:p>
      <w:pPr>
        <w:pStyle w:val="TextBody"/>
        <w:bidi w:val="0"/>
        <w:spacing w:before="240" w:after="0"/>
        <w:jc w:val="left"/>
        <w:rPr>
          <w:rFonts w:ascii="Times New Roman" w:hAnsi="Times New Roman"/>
          <w:sz w:val="20"/>
        </w:rPr>
      </w:pPr>
      <w:r>
        <w:rPr>
          <w:rFonts w:ascii="Times New Roman" w:hAnsi="Times New Roman"/>
          <w:sz w:val="20"/>
        </w:rPr>
        <w:t>Subject to the election described below, the 1940 Act requires, among other things, that (1) immediately after issuance and before any distribution is made with respect to our common stock and before any purchase of common stock is made, such preferred stock, together with all other senior securities, must not exceed an amount equal to 50.0%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Further, the 1940 Act requires that any distributions we make on preferred stock be cumulative. We believe that the availability for issuance of preferred stock will provide us with increased flexibility in structuring future financings and acquisitions. Notwithstanding the foregoing, we are currently allowed to borrow amounts such that our asset coverage, as calculated pursuant to the 1940 Act, equals at least 150% after such borrowing (</w:t>
      </w:r>
      <w:r>
        <w:rPr>
          <w:rFonts w:ascii="Times New Roman" w:hAnsi="Times New Roman"/>
          <w:i/>
          <w:sz w:val="20"/>
        </w:rPr>
        <w:t>i.e.</w:t>
      </w:r>
      <w:r>
        <w:rPr>
          <w:rFonts w:ascii="Times New Roman" w:hAnsi="Times New Roman"/>
          <w:sz w:val="20"/>
        </w:rPr>
        <w:t xml:space="preserve">, we are able to borrow up to two dollars for every dollar we have in assets less all liabilities and indebtedness not represented by senior securities issued by us). </w:t>
      </w:r>
    </w:p>
    <w:p>
      <w:pPr>
        <w:pStyle w:val="TextBody"/>
        <w:bidi w:val="0"/>
        <w:spacing w:before="240" w:after="0"/>
        <w:jc w:val="left"/>
        <w:rPr>
          <w:rFonts w:ascii="Times New Roman" w:hAnsi="Times New Roman"/>
          <w:sz w:val="20"/>
        </w:rPr>
      </w:pPr>
      <w:r>
        <w:rPr>
          <w:rFonts w:ascii="Times New Roman" w:hAnsi="Times New Roman"/>
          <w:sz w:val="20"/>
        </w:rPr>
        <w:t xml:space="preserve">For any series of preferred stock that we may issue, our board of directors will determine and the prospectus supplement relating to such series will describe: </w:t>
      </w:r>
    </w:p>
    <w:p>
      <w:pPr>
        <w:pStyle w:val="TextBody"/>
        <w:bidi w:val="0"/>
        <w:spacing w:before="0" w:after="0"/>
        <w:jc w:val="left"/>
        <w:rPr/>
      </w:pPr>
      <w:r>
        <w:rPr/>
        <w:t> </w:t>
      </w:r>
    </w:p>
    <w:tbl>
      <w:tblPr>
        <w:tblW w:w="4525" w:type="dxa"/>
        <w:jc w:val="left"/>
        <w:tblInd w:w="0" w:type="dxa"/>
        <w:tblLayout w:type="fixed"/>
        <w:tblCellMar>
          <w:top w:w="0" w:type="dxa"/>
          <w:left w:w="0" w:type="dxa"/>
          <w:bottom w:w="0" w:type="dxa"/>
          <w:right w:w="0" w:type="dxa"/>
        </w:tblCellMar>
      </w:tblPr>
      <w:tblGrid>
        <w:gridCol w:w="75"/>
        <w:gridCol w:w="110"/>
        <w:gridCol w:w="60"/>
        <w:gridCol w:w="42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number of shares of such series;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rate and time at which, and the preferences and conditions under which, any distributions will be paid on shares of such series, as well as whether such distributions are participating or non-participating; </w:t>
            </w:r>
          </w:p>
        </w:tc>
      </w:tr>
    </w:tbl>
    <w:p>
      <w:pPr>
        <w:pStyle w:val="TextBody"/>
        <w:bidi w:val="0"/>
        <w:spacing w:before="0" w:after="0"/>
        <w:jc w:val="left"/>
        <w:rPr/>
      </w:pPr>
      <w:r>
        <w:rPr/>
        <w:t> </w:t>
      </w:r>
    </w:p>
    <w:tbl>
      <w:tblPr>
        <w:tblW w:w="7390" w:type="dxa"/>
        <w:jc w:val="left"/>
        <w:tblInd w:w="0" w:type="dxa"/>
        <w:tblLayout w:type="fixed"/>
        <w:tblCellMar>
          <w:top w:w="0" w:type="dxa"/>
          <w:left w:w="0" w:type="dxa"/>
          <w:bottom w:w="0" w:type="dxa"/>
          <w:right w:w="0" w:type="dxa"/>
        </w:tblCellMar>
      </w:tblPr>
      <w:tblGrid>
        <w:gridCol w:w="75"/>
        <w:gridCol w:w="110"/>
        <w:gridCol w:w="60"/>
        <w:gridCol w:w="71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relating to convertibility or exchangeability of the shares of such series;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rights and preferences, if any, of holders of shares of such series upon our liquidation, dissolution or winding up of our affairs; </w:t>
            </w:r>
          </w:p>
        </w:tc>
      </w:tr>
    </w:tbl>
    <w:p>
      <w:pPr>
        <w:pStyle w:val="TextBody"/>
        <w:bidi w:val="0"/>
        <w:spacing w:before="0" w:after="0"/>
        <w:jc w:val="left"/>
        <w:rPr/>
      </w:pPr>
      <w:r>
        <w:rPr/>
        <w:t> </w:t>
      </w:r>
    </w:p>
    <w:tbl>
      <w:tblPr>
        <w:tblW w:w="5470" w:type="dxa"/>
        <w:jc w:val="left"/>
        <w:tblInd w:w="0" w:type="dxa"/>
        <w:tblLayout w:type="fixed"/>
        <w:tblCellMar>
          <w:top w:w="0" w:type="dxa"/>
          <w:left w:w="0" w:type="dxa"/>
          <w:bottom w:w="0" w:type="dxa"/>
          <w:right w:w="0" w:type="dxa"/>
        </w:tblCellMar>
      </w:tblPr>
      <w:tblGrid>
        <w:gridCol w:w="75"/>
        <w:gridCol w:w="110"/>
        <w:gridCol w:w="60"/>
        <w:gridCol w:w="52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voting powers, if any, of the holders of shares of such series; </w:t>
            </w:r>
          </w:p>
        </w:tc>
      </w:tr>
    </w:tbl>
    <w:p>
      <w:pPr>
        <w:pStyle w:val="TextBody"/>
        <w:bidi w:val="0"/>
        <w:spacing w:before="0" w:after="0"/>
        <w:jc w:val="left"/>
        <w:rPr/>
      </w:pPr>
      <w:r>
        <w:rPr/>
        <w:t> </w:t>
      </w:r>
    </w:p>
    <w:tbl>
      <w:tblPr>
        <w:tblW w:w="5920" w:type="dxa"/>
        <w:jc w:val="left"/>
        <w:tblInd w:w="0" w:type="dxa"/>
        <w:tblLayout w:type="fixed"/>
        <w:tblCellMar>
          <w:top w:w="0" w:type="dxa"/>
          <w:left w:w="0" w:type="dxa"/>
          <w:bottom w:w="0" w:type="dxa"/>
          <w:right w:w="0" w:type="dxa"/>
        </w:tblCellMar>
      </w:tblPr>
      <w:tblGrid>
        <w:gridCol w:w="75"/>
        <w:gridCol w:w="110"/>
        <w:gridCol w:w="60"/>
        <w:gridCol w:w="56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relating to the redemption of the shares of such series;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limitations on our ability to pay distributions on, or acquire or redeem, other securities while shares of such series are outstanding;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bidi w:val="0"/>
        <w:jc w:val="left"/>
        <w:rPr/>
      </w:pPr>
      <w:r>
        <w:rPr/>
      </w:r>
    </w:p>
    <w:tbl>
      <w:tblPr>
        <w:tblW w:w="8605" w:type="dxa"/>
        <w:jc w:val="left"/>
        <w:tblInd w:w="0" w:type="dxa"/>
        <w:tblLayout w:type="fixed"/>
        <w:tblCellMar>
          <w:top w:w="0" w:type="dxa"/>
          <w:left w:w="0" w:type="dxa"/>
          <w:bottom w:w="0" w:type="dxa"/>
          <w:right w:w="0" w:type="dxa"/>
        </w:tblCellMar>
      </w:tblPr>
      <w:tblGrid>
        <w:gridCol w:w="75"/>
        <w:gridCol w:w="110"/>
        <w:gridCol w:w="60"/>
        <w:gridCol w:w="83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conditions or restrictions on our ability to issue additional shares of such series or other securities; </w:t>
            </w:r>
          </w:p>
        </w:tc>
      </w:tr>
    </w:tbl>
    <w:p>
      <w:pPr>
        <w:pStyle w:val="TextBody"/>
        <w:bidi w:val="0"/>
        <w:spacing w:before="0" w:after="0"/>
        <w:jc w:val="left"/>
        <w:rPr/>
      </w:pPr>
      <w:r>
        <w:rPr/>
        <w:t> </w:t>
      </w:r>
    </w:p>
    <w:tbl>
      <w:tblPr>
        <w:tblW w:w="6790" w:type="dxa"/>
        <w:jc w:val="left"/>
        <w:tblInd w:w="0" w:type="dxa"/>
        <w:tblLayout w:type="fixed"/>
        <w:tblCellMar>
          <w:top w:w="0" w:type="dxa"/>
          <w:left w:w="0" w:type="dxa"/>
          <w:bottom w:w="0" w:type="dxa"/>
          <w:right w:w="0" w:type="dxa"/>
        </w:tblCellMar>
      </w:tblPr>
      <w:tblGrid>
        <w:gridCol w:w="75"/>
        <w:gridCol w:w="110"/>
        <w:gridCol w:w="60"/>
        <w:gridCol w:w="65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applicable, a discussion of certain U.S. federal income tax considerations;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other relative powers, preferences and participating, optional or special rights of shares of such series, and the qualifications, limitations or restrictions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preferred stock may be either fixed rate preferred stock or variable rate preferred stock, which is sometimes referred to as “auction rate” preferred stock. 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distributions, if any, thereon will be cumulative. If we issue shares of preferred stock, holders of such preferred stock will be entitled to receive cash distributions at an annual rate that will be fixed or will vary for the successive distribution periods for each series. In general, the distribution periods for fixed rate preferred stock can range from quarterly to weekly and are subject to extension. The distribution rate to be variable and determined for each distribution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24" w:name="toc29698_23"/>
      <w:bookmarkEnd w:id="24"/>
      <w:r>
        <w:rPr>
          <w:rFonts w:ascii="Times New Roman" w:hAnsi="Times New Roman"/>
          <w:b/>
          <w:sz w:val="20"/>
        </w:rPr>
        <w:t xml:space="preserve">DESCRIPTION OF OUR SUBSCRIPTION RIGHTS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subscription rights to our stockholders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 Our common stockholders will indirectly bear the expenses of such subscription rights offerings, regardless of whether our common stockholders exercise any subscription rights.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would describe the following terms of subscription rights in respect of which this prospectus is being delivered: </w:t>
      </w:r>
    </w:p>
    <w:p>
      <w:pPr>
        <w:pStyle w:val="TextBody"/>
        <w:bidi w:val="0"/>
        <w:spacing w:before="0" w:after="0"/>
        <w:jc w:val="left"/>
        <w:rPr/>
      </w:pPr>
      <w:r>
        <w:rPr/>
        <w:t> </w:t>
      </w:r>
    </w:p>
    <w:tbl>
      <w:tblPr>
        <w:tblW w:w="3205" w:type="dxa"/>
        <w:jc w:val="left"/>
        <w:tblInd w:w="0" w:type="dxa"/>
        <w:tblLayout w:type="fixed"/>
        <w:tblCellMar>
          <w:top w:w="0" w:type="dxa"/>
          <w:left w:w="0" w:type="dxa"/>
          <w:bottom w:w="0" w:type="dxa"/>
          <w:right w:w="0" w:type="dxa"/>
        </w:tblCellMar>
      </w:tblPr>
      <w:tblGrid>
        <w:gridCol w:w="75"/>
        <w:gridCol w:w="110"/>
        <w:gridCol w:w="60"/>
        <w:gridCol w:w="2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title of such subscription rights; </w:t>
            </w:r>
          </w:p>
        </w:tc>
      </w:tr>
    </w:tbl>
    <w:p>
      <w:pPr>
        <w:pStyle w:val="TextBody"/>
        <w:bidi w:val="0"/>
        <w:spacing w:before="0" w:after="0"/>
        <w:jc w:val="left"/>
        <w:rPr/>
      </w:pPr>
      <w:r>
        <w:rPr/>
        <w:t> </w:t>
      </w:r>
    </w:p>
    <w:tbl>
      <w:tblPr>
        <w:tblW w:w="8485" w:type="dxa"/>
        <w:jc w:val="left"/>
        <w:tblInd w:w="0" w:type="dxa"/>
        <w:tblLayout w:type="fixed"/>
        <w:tblCellMar>
          <w:top w:w="0" w:type="dxa"/>
          <w:left w:w="0" w:type="dxa"/>
          <w:bottom w:w="0" w:type="dxa"/>
          <w:right w:w="0" w:type="dxa"/>
        </w:tblCellMar>
      </w:tblPr>
      <w:tblGrid>
        <w:gridCol w:w="75"/>
        <w:gridCol w:w="110"/>
        <w:gridCol w:w="60"/>
        <w:gridCol w:w="82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exercise price or a formula for the determination of the exercise price for such subscription rights; </w:t>
            </w:r>
          </w:p>
        </w:tc>
      </w:tr>
    </w:tbl>
    <w:p>
      <w:pPr>
        <w:pStyle w:val="TextBody"/>
        <w:bidi w:val="0"/>
        <w:spacing w:before="0" w:after="0"/>
        <w:jc w:val="left"/>
        <w:rPr/>
      </w:pPr>
      <w:r>
        <w:rPr/>
        <w:t> </w:t>
      </w:r>
    </w:p>
    <w:tbl>
      <w:tblPr>
        <w:tblW w:w="9625" w:type="dxa"/>
        <w:jc w:val="left"/>
        <w:tblInd w:w="0" w:type="dxa"/>
        <w:tblLayout w:type="fixed"/>
        <w:tblCellMar>
          <w:top w:w="0" w:type="dxa"/>
          <w:left w:w="0" w:type="dxa"/>
          <w:bottom w:w="0" w:type="dxa"/>
          <w:right w:w="0" w:type="dxa"/>
        </w:tblCellMar>
      </w:tblPr>
      <w:tblGrid>
        <w:gridCol w:w="75"/>
        <w:gridCol w:w="110"/>
        <w:gridCol w:w="60"/>
        <w:gridCol w:w="93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or a formula for the determination of the number of such subscription rights issued to each stockholder; </w:t>
            </w:r>
          </w:p>
        </w:tc>
      </w:tr>
    </w:tbl>
    <w:p>
      <w:pPr>
        <w:pStyle w:val="TextBody"/>
        <w:bidi w:val="0"/>
        <w:spacing w:before="0" w:after="0"/>
        <w:jc w:val="left"/>
        <w:rPr/>
      </w:pPr>
      <w:r>
        <w:rPr/>
        <w:t> </w:t>
      </w:r>
    </w:p>
    <w:tbl>
      <w:tblPr>
        <w:tblW w:w="5200" w:type="dxa"/>
        <w:jc w:val="left"/>
        <w:tblInd w:w="0" w:type="dxa"/>
        <w:tblLayout w:type="fixed"/>
        <w:tblCellMar>
          <w:top w:w="0" w:type="dxa"/>
          <w:left w:w="0" w:type="dxa"/>
          <w:bottom w:w="0" w:type="dxa"/>
          <w:right w:w="0" w:type="dxa"/>
        </w:tblCellMar>
      </w:tblPr>
      <w:tblGrid>
        <w:gridCol w:w="75"/>
        <w:gridCol w:w="110"/>
        <w:gridCol w:w="60"/>
        <w:gridCol w:w="49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such subscription rights are transferable;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applicable, a discussion of the material U.S. federal income tax considerations applicable to the issuance or exercise of such subscription rights;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such subscription rights would commence, and the date on which such rights shall expire (subject to any extension);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such subscription rights include an over-subscription privilege with respect to unsubscribed securities;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material terms of any standby underwriting or other purchase arrangement that we may enter into in connection with the subscription rights offering;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such subscription rights, including terms, procedures and limitations relating to the exchange and exercise of such subscription rights.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Exercise of Subscription Rights </w:t>
      </w:r>
    </w:p>
    <w:p>
      <w:pPr>
        <w:pStyle w:val="TextBody"/>
        <w:bidi w:val="0"/>
        <w:spacing w:before="120" w:after="0"/>
        <w:jc w:val="left"/>
        <w:rPr>
          <w:rFonts w:ascii="Times New Roman" w:hAnsi="Times New Roman"/>
          <w:sz w:val="20"/>
        </w:rPr>
      </w:pPr>
      <w:r>
        <w:rPr>
          <w:rFonts w:ascii="Times New Roman" w:hAnsi="Times New Roman"/>
          <w:sz w:val="20"/>
        </w:rPr>
        <w:t xml:space="preserve">Each subscription right would entitle the holder of the subscription right to purchase for cash such amount of shares of common stock or other securities at such exercise price as shall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 We have not previously completed such an offering of subscription rights. </w:t>
      </w:r>
    </w:p>
    <w:p>
      <w:pPr>
        <w:pStyle w:val="TextBody"/>
        <w:bidi w:val="0"/>
        <w:spacing w:before="240" w:after="0"/>
        <w:jc w:val="left"/>
        <w:rPr>
          <w:rFonts w:ascii="Times New Roman" w:hAnsi="Times New Roman"/>
          <w:sz w:val="20"/>
        </w:rPr>
      </w:pPr>
      <w:r>
        <w:rPr>
          <w:rFonts w:ascii="Times New Roman" w:hAnsi="Times New Roman"/>
          <w:sz w:val="20"/>
        </w:rPr>
        <w:t xml:space="preserve">Subscription rights may be exercised as set forth in the prospectus supplement relating to the subscription rights offered thereby. Upon receipt of payment and the subscription rights certificate properly completed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duly executed at the corporate trust office of the subscription rights agent or any other office indicated in the prospectus supplement, we will forward, as soon as practicable, the shares of common stock or other securities purchasable upon such exercise. To the extent permissible under applicable law,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Dilutive Effects </w:t>
      </w:r>
    </w:p>
    <w:p>
      <w:pPr>
        <w:pStyle w:val="TextBody"/>
        <w:bidi w:val="0"/>
        <w:spacing w:before="120" w:after="0"/>
        <w:jc w:val="left"/>
        <w:rPr>
          <w:rFonts w:ascii="Times New Roman" w:hAnsi="Times New Roman"/>
          <w:sz w:val="20"/>
        </w:rPr>
      </w:pPr>
      <w:r>
        <w:rPr>
          <w:rFonts w:ascii="Times New Roman" w:hAnsi="Times New Roman"/>
          <w:sz w:val="20"/>
        </w:rPr>
        <w:t xml:space="preserve">Any stockholder who chooses not to participate in a rights offering should expect to own a smaller interest in the Company upon completion of such rights offering. Any rights offering will dilute the ownership interest and voting power of stockholders who do not fully exercise their subscription rights. Further, because the net proceeds per share from any rights offering may be lower than our then current net asset value per share, the rights offering may reduce our net asset value per share. The amount of dilution that a stockholder will experience could be substantial, particularly to the extent we engage in multiple rights offerings within a limited time period. In addition, the market price of our common stock could be adversely affected while a rights offering is ongoing as a result of the possibility that a significant number of additional shares may be issued upon completion of such rights offering. All of our stockholders will also indirectly bear the expenses associated with any rights offering we may conduct, regardless of whether they elect to exercise any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25" w:name="toc29698_24"/>
      <w:bookmarkEnd w:id="25"/>
      <w:r>
        <w:rPr>
          <w:rFonts w:ascii="Times New Roman" w:hAnsi="Times New Roman"/>
          <w:b/>
          <w:sz w:val="20"/>
        </w:rPr>
        <w:t xml:space="preserve">DESCRIPTION OF OUR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 </w:t>
      </w:r>
    </w:p>
    <w:p>
      <w:pPr>
        <w:pStyle w:val="TextBody"/>
        <w:bidi w:val="0"/>
        <w:spacing w:before="240" w:after="0"/>
        <w:jc w:val="left"/>
        <w:rPr>
          <w:rFonts w:ascii="Times New Roman" w:hAnsi="Times New Roman"/>
          <w:sz w:val="20"/>
        </w:rPr>
      </w:pPr>
      <w:r>
        <w:rPr>
          <w:rFonts w:ascii="Times New Roman" w:hAnsi="Times New Roman"/>
          <w:sz w:val="20"/>
        </w:rPr>
        <w:t xml:space="preserve">As required by federal law for all bonds and notes of companies that are publicly offered, the debt securities are governed by a document called an “indenture.” An indenture is a contract between us and the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 Events of Default — Remedies if an Event of Default Occurs.” Second, the trustee performs certain administrative duties for us with respect to our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section includes a description of the material provisions of the indenture. Because this section is a summary, however, it does not describe every aspect of the debt securities and the indenture. We urge you to read the indenture because it, and not this description, defines your rights as a holder of debt securities. A copy of the form of indenture is attached, or incorporated by reference, as an exhibit to the registration statement of which this prospectus is a part. We will file a supplemental indenture with the SEC in connection with any debt offering, at which time the supplemental indenture would be publicly available. See “Available Information” for information on how to obtain a copy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which will accompany this prospectus, will describe the particular series of debt securities being offered by including: </w:t>
      </w:r>
    </w:p>
    <w:p>
      <w:pPr>
        <w:pStyle w:val="TextBody"/>
        <w:bidi w:val="0"/>
        <w:spacing w:before="0" w:after="0"/>
        <w:jc w:val="left"/>
        <w:rPr/>
      </w:pPr>
      <w:r>
        <w:rPr/>
        <w:t> </w:t>
      </w:r>
    </w:p>
    <w:tbl>
      <w:tblPr>
        <w:tblW w:w="4660" w:type="dxa"/>
        <w:jc w:val="left"/>
        <w:tblInd w:w="0" w:type="dxa"/>
        <w:tblLayout w:type="fixed"/>
        <w:tblCellMar>
          <w:top w:w="0" w:type="dxa"/>
          <w:left w:w="0" w:type="dxa"/>
          <w:bottom w:w="0" w:type="dxa"/>
          <w:right w:w="0" w:type="dxa"/>
        </w:tblCellMar>
      </w:tblPr>
      <w:tblGrid>
        <w:gridCol w:w="75"/>
        <w:gridCol w:w="110"/>
        <w:gridCol w:w="60"/>
        <w:gridCol w:w="44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or title of the series of debt securities; </w:t>
            </w:r>
          </w:p>
        </w:tc>
      </w:tr>
    </w:tbl>
    <w:p>
      <w:pPr>
        <w:pStyle w:val="TextBody"/>
        <w:bidi w:val="0"/>
        <w:spacing w:before="0" w:after="0"/>
        <w:jc w:val="left"/>
        <w:rPr/>
      </w:pPr>
      <w:r>
        <w:rPr/>
        <w:t> </w:t>
      </w:r>
    </w:p>
    <w:tbl>
      <w:tblPr>
        <w:tblW w:w="4930" w:type="dxa"/>
        <w:jc w:val="left"/>
        <w:tblInd w:w="0" w:type="dxa"/>
        <w:tblLayout w:type="fixed"/>
        <w:tblCellMar>
          <w:top w:w="0" w:type="dxa"/>
          <w:left w:w="0" w:type="dxa"/>
          <w:bottom w:w="0" w:type="dxa"/>
          <w:right w:w="0" w:type="dxa"/>
        </w:tblCellMar>
      </w:tblPr>
      <w:tblGrid>
        <w:gridCol w:w="75"/>
        <w:gridCol w:w="110"/>
        <w:gridCol w:w="60"/>
        <w:gridCol w:w="46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total principal amount of the series of debt securities; </w:t>
            </w:r>
          </w:p>
        </w:tc>
      </w:tr>
    </w:tbl>
    <w:p>
      <w:pPr>
        <w:pStyle w:val="TextBody"/>
        <w:bidi w:val="0"/>
        <w:spacing w:before="0" w:after="0"/>
        <w:jc w:val="left"/>
        <w:rPr/>
      </w:pPr>
      <w:r>
        <w:rPr/>
        <w:t> </w:t>
      </w:r>
    </w:p>
    <w:tbl>
      <w:tblPr>
        <w:tblW w:w="7690" w:type="dxa"/>
        <w:jc w:val="left"/>
        <w:tblInd w:w="0" w:type="dxa"/>
        <w:tblLayout w:type="fixed"/>
        <w:tblCellMar>
          <w:top w:w="0" w:type="dxa"/>
          <w:left w:w="0" w:type="dxa"/>
          <w:bottom w:w="0" w:type="dxa"/>
          <w:right w:w="0" w:type="dxa"/>
        </w:tblCellMar>
      </w:tblPr>
      <w:tblGrid>
        <w:gridCol w:w="75"/>
        <w:gridCol w:w="110"/>
        <w:gridCol w:w="60"/>
        <w:gridCol w:w="74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percentage of the principal amount at which the series of debt securities will be offered; </w:t>
            </w:r>
          </w:p>
        </w:tc>
      </w:tr>
    </w:tbl>
    <w:p>
      <w:pPr>
        <w:pStyle w:val="TextBody"/>
        <w:bidi w:val="0"/>
        <w:spacing w:before="0" w:after="0"/>
        <w:jc w:val="left"/>
        <w:rPr/>
      </w:pPr>
      <w:r>
        <w:rPr/>
        <w:t> </w:t>
      </w:r>
    </w:p>
    <w:tbl>
      <w:tblPr>
        <w:tblW w:w="4570" w:type="dxa"/>
        <w:jc w:val="left"/>
        <w:tblInd w:w="0" w:type="dxa"/>
        <w:tblLayout w:type="fixed"/>
        <w:tblCellMar>
          <w:top w:w="0" w:type="dxa"/>
          <w:left w:w="0" w:type="dxa"/>
          <w:bottom w:w="0" w:type="dxa"/>
          <w:right w:w="0" w:type="dxa"/>
        </w:tblCellMar>
      </w:tblPr>
      <w:tblGrid>
        <w:gridCol w:w="75"/>
        <w:gridCol w:w="110"/>
        <w:gridCol w:w="60"/>
        <w:gridCol w:w="43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principal will be payable;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(which may be either fixed or variable) and/or the method of determining such rate or rates of interest, if 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from which any interest will accrue, or the method of determining such date or dates, and the date or dates on which any interest will be payable;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any interest may be paid by issuing additional securities of the same series in lieu of cash (and the terms upon which any such interest may be paid by issuing additional securities); </w:t>
            </w:r>
          </w:p>
        </w:tc>
      </w:tr>
    </w:tbl>
    <w:p>
      <w:pPr>
        <w:pStyle w:val="TextBody"/>
        <w:bidi w:val="0"/>
        <w:spacing w:before="0" w:after="0"/>
        <w:jc w:val="left"/>
        <w:rPr/>
      </w:pPr>
      <w:r>
        <w:rPr/>
        <w:t> </w:t>
      </w:r>
    </w:p>
    <w:tbl>
      <w:tblPr>
        <w:tblW w:w="5365" w:type="dxa"/>
        <w:jc w:val="left"/>
        <w:tblInd w:w="0" w:type="dxa"/>
        <w:tblLayout w:type="fixed"/>
        <w:tblCellMar>
          <w:top w:w="0" w:type="dxa"/>
          <w:left w:w="0" w:type="dxa"/>
          <w:bottom w:w="0" w:type="dxa"/>
          <w:right w:w="0" w:type="dxa"/>
        </w:tblCellMar>
      </w:tblPr>
      <w:tblGrid>
        <w:gridCol w:w="75"/>
        <w:gridCol w:w="110"/>
        <w:gridCol w:w="60"/>
        <w:gridCol w:w="51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terms for redemption, extension or early repayment, if any; </w:t>
            </w:r>
          </w:p>
        </w:tc>
      </w:tr>
    </w:tbl>
    <w:p>
      <w:pPr>
        <w:pStyle w:val="TextBody"/>
        <w:bidi w:val="0"/>
        <w:spacing w:before="0" w:after="0"/>
        <w:jc w:val="left"/>
        <w:rPr/>
      </w:pPr>
      <w:r>
        <w:rPr/>
        <w:t> </w:t>
      </w:r>
    </w:p>
    <w:tbl>
      <w:tblPr>
        <w:tblW w:w="6355" w:type="dxa"/>
        <w:jc w:val="left"/>
        <w:tblInd w:w="0" w:type="dxa"/>
        <w:tblLayout w:type="fixed"/>
        <w:tblCellMar>
          <w:top w:w="0" w:type="dxa"/>
          <w:left w:w="0" w:type="dxa"/>
          <w:bottom w:w="0" w:type="dxa"/>
          <w:right w:w="0" w:type="dxa"/>
        </w:tblCellMar>
      </w:tblPr>
      <w:tblGrid>
        <w:gridCol w:w="75"/>
        <w:gridCol w:w="110"/>
        <w:gridCol w:w="60"/>
        <w:gridCol w:w="61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currencies in which the series of debt securities are issued and payable;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if any, other than or in addition to the Borough of Manhattan in the City of New York, of payment, transfer, conversion and/or exchange of the debt securities;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the offered debt securities will be issued (if other than $1,000 and any integral multiple thereof);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bidi w:val="0"/>
        <w:jc w:val="left"/>
        <w:rPr/>
      </w:pPr>
      <w:r>
        <w:rPr/>
      </w:r>
    </w:p>
    <w:tbl>
      <w:tblPr>
        <w:tblW w:w="3160" w:type="dxa"/>
        <w:jc w:val="left"/>
        <w:tblInd w:w="0" w:type="dxa"/>
        <w:tblLayout w:type="fixed"/>
        <w:tblCellMar>
          <w:top w:w="0" w:type="dxa"/>
          <w:left w:w="0" w:type="dxa"/>
          <w:bottom w:w="0" w:type="dxa"/>
          <w:right w:w="0" w:type="dxa"/>
        </w:tblCellMar>
      </w:tblPr>
      <w:tblGrid>
        <w:gridCol w:w="75"/>
        <w:gridCol w:w="110"/>
        <w:gridCol w:w="60"/>
        <w:gridCol w:w="29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provision for any sinking fund; </w:t>
            </w:r>
          </w:p>
        </w:tc>
      </w:tr>
    </w:tbl>
    <w:p>
      <w:pPr>
        <w:pStyle w:val="TextBody"/>
        <w:bidi w:val="0"/>
        <w:spacing w:before="0" w:after="0"/>
        <w:jc w:val="left"/>
        <w:rPr/>
      </w:pPr>
      <w:r>
        <w:rPr/>
        <w:t> </w:t>
      </w:r>
    </w:p>
    <w:tbl>
      <w:tblPr>
        <w:tblW w:w="2410" w:type="dxa"/>
        <w:jc w:val="left"/>
        <w:tblInd w:w="0" w:type="dxa"/>
        <w:tblLayout w:type="fixed"/>
        <w:tblCellMar>
          <w:top w:w="0" w:type="dxa"/>
          <w:left w:w="0" w:type="dxa"/>
          <w:bottom w:w="0" w:type="dxa"/>
          <w:right w:w="0" w:type="dxa"/>
        </w:tblCellMar>
      </w:tblPr>
      <w:tblGrid>
        <w:gridCol w:w="75"/>
        <w:gridCol w:w="110"/>
        <w:gridCol w:w="60"/>
        <w:gridCol w:w="21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restrictive covenants; </w:t>
            </w:r>
          </w:p>
        </w:tc>
      </w:tr>
    </w:tbl>
    <w:p>
      <w:pPr>
        <w:pStyle w:val="TextBody"/>
        <w:bidi w:val="0"/>
        <w:spacing w:before="0" w:after="0"/>
        <w:jc w:val="left"/>
        <w:rPr/>
      </w:pPr>
      <w:r>
        <w:rPr/>
        <w:t> </w:t>
      </w:r>
    </w:p>
    <w:tbl>
      <w:tblPr>
        <w:tblW w:w="5515" w:type="dxa"/>
        <w:jc w:val="left"/>
        <w:tblInd w:w="0" w:type="dxa"/>
        <w:tblLayout w:type="fixed"/>
        <w:tblCellMar>
          <w:top w:w="0" w:type="dxa"/>
          <w:left w:w="0" w:type="dxa"/>
          <w:bottom w:w="0" w:type="dxa"/>
          <w:right w:w="0" w:type="dxa"/>
        </w:tblCellMar>
      </w:tblPr>
      <w:tblGrid>
        <w:gridCol w:w="75"/>
        <w:gridCol w:w="110"/>
        <w:gridCol w:w="60"/>
        <w:gridCol w:w="52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Events of Default (as defined in “Events of Default” below); </w:t>
            </w:r>
          </w:p>
        </w:tc>
      </w:tr>
    </w:tbl>
    <w:p>
      <w:pPr>
        <w:pStyle w:val="TextBody"/>
        <w:bidi w:val="0"/>
        <w:spacing w:before="0" w:after="0"/>
        <w:jc w:val="left"/>
        <w:rPr/>
      </w:pPr>
      <w:r>
        <w:rPr/>
        <w:t> </w:t>
      </w:r>
    </w:p>
    <w:tbl>
      <w:tblPr>
        <w:tblW w:w="5830" w:type="dxa"/>
        <w:jc w:val="left"/>
        <w:tblInd w:w="0" w:type="dxa"/>
        <w:tblLayout w:type="fixed"/>
        <w:tblCellMar>
          <w:top w:w="0" w:type="dxa"/>
          <w:left w:w="0" w:type="dxa"/>
          <w:bottom w:w="0" w:type="dxa"/>
          <w:right w:w="0" w:type="dxa"/>
        </w:tblCellMar>
      </w:tblPr>
      <w:tblGrid>
        <w:gridCol w:w="75"/>
        <w:gridCol w:w="110"/>
        <w:gridCol w:w="60"/>
        <w:gridCol w:w="55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the series of debt securities are issuable in certificated form; </w:t>
            </w:r>
          </w:p>
        </w:tc>
      </w:tr>
    </w:tbl>
    <w:p>
      <w:pPr>
        <w:pStyle w:val="TextBody"/>
        <w:bidi w:val="0"/>
        <w:spacing w:before="0" w:after="0"/>
        <w:jc w:val="left"/>
        <w:rPr/>
      </w:pPr>
      <w:r>
        <w:rPr/>
        <w:t> </w:t>
      </w:r>
    </w:p>
    <w:tbl>
      <w:tblPr>
        <w:tblW w:w="4720" w:type="dxa"/>
        <w:jc w:val="left"/>
        <w:tblInd w:w="0" w:type="dxa"/>
        <w:tblLayout w:type="fixed"/>
        <w:tblCellMar>
          <w:top w:w="0" w:type="dxa"/>
          <w:left w:w="0" w:type="dxa"/>
          <w:bottom w:w="0" w:type="dxa"/>
          <w:right w:w="0" w:type="dxa"/>
        </w:tblCellMar>
      </w:tblPr>
      <w:tblGrid>
        <w:gridCol w:w="75"/>
        <w:gridCol w:w="110"/>
        <w:gridCol w:w="60"/>
        <w:gridCol w:w="44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defeasance or covenant defeasance;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special U.S. federal income tax implications, including, if applicable, U.S. federal income tax considerations relating to original issue discount;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and under what circumstances we will pay additional amounts in respect of any tax, assessment or governmental charge and, if so, whether we will have the option to redeem the debt securities rather than pay the additional amounts (and the terms of this option); </w:t>
            </w:r>
          </w:p>
        </w:tc>
      </w:tr>
    </w:tbl>
    <w:p>
      <w:pPr>
        <w:pStyle w:val="TextBody"/>
        <w:bidi w:val="0"/>
        <w:spacing w:before="0" w:after="0"/>
        <w:jc w:val="left"/>
        <w:rPr/>
      </w:pPr>
      <w:r>
        <w:rPr/>
        <w:t> </w:t>
      </w:r>
    </w:p>
    <w:tbl>
      <w:tblPr>
        <w:tblW w:w="8800" w:type="dxa"/>
        <w:jc w:val="left"/>
        <w:tblInd w:w="0" w:type="dxa"/>
        <w:tblLayout w:type="fixed"/>
        <w:tblCellMar>
          <w:top w:w="0" w:type="dxa"/>
          <w:left w:w="0" w:type="dxa"/>
          <w:bottom w:w="0" w:type="dxa"/>
          <w:right w:w="0" w:type="dxa"/>
        </w:tblCellMar>
      </w:tblPr>
      <w:tblGrid>
        <w:gridCol w:w="75"/>
        <w:gridCol w:w="110"/>
        <w:gridCol w:w="60"/>
        <w:gridCol w:w="85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convertibility or exchangeability of the debt securities into or for any other securities; </w:t>
            </w:r>
          </w:p>
        </w:tc>
      </w:tr>
    </w:tbl>
    <w:p>
      <w:pPr>
        <w:pStyle w:val="TextBody"/>
        <w:bidi w:val="0"/>
        <w:spacing w:before="0" w:after="0"/>
        <w:jc w:val="left"/>
        <w:rPr/>
      </w:pPr>
      <w:r>
        <w:rPr/>
        <w:t> </w:t>
      </w:r>
    </w:p>
    <w:tbl>
      <w:tblPr>
        <w:tblW w:w="7795" w:type="dxa"/>
        <w:jc w:val="left"/>
        <w:tblInd w:w="0" w:type="dxa"/>
        <w:tblLayout w:type="fixed"/>
        <w:tblCellMar>
          <w:top w:w="0" w:type="dxa"/>
          <w:left w:w="0" w:type="dxa"/>
          <w:bottom w:w="0" w:type="dxa"/>
          <w:right w:w="0" w:type="dxa"/>
        </w:tblCellMar>
      </w:tblPr>
      <w:tblGrid>
        <w:gridCol w:w="75"/>
        <w:gridCol w:w="110"/>
        <w:gridCol w:w="60"/>
        <w:gridCol w:w="75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are subject to subordination and the terms of such subordination; </w:t>
            </w:r>
          </w:p>
        </w:tc>
      </w:tr>
    </w:tbl>
    <w:p>
      <w:pPr>
        <w:pStyle w:val="TextBody"/>
        <w:bidi w:val="0"/>
        <w:spacing w:before="0" w:after="0"/>
        <w:jc w:val="left"/>
        <w:rPr/>
      </w:pPr>
      <w:r>
        <w:rPr/>
        <w:t> </w:t>
      </w:r>
    </w:p>
    <w:tbl>
      <w:tblPr>
        <w:tblW w:w="6505" w:type="dxa"/>
        <w:jc w:val="left"/>
        <w:tblInd w:w="0" w:type="dxa"/>
        <w:tblLayout w:type="fixed"/>
        <w:tblCellMar>
          <w:top w:w="0" w:type="dxa"/>
          <w:left w:w="0" w:type="dxa"/>
          <w:bottom w:w="0" w:type="dxa"/>
          <w:right w:w="0" w:type="dxa"/>
        </w:tblCellMar>
      </w:tblPr>
      <w:tblGrid>
        <w:gridCol w:w="75"/>
        <w:gridCol w:w="110"/>
        <w:gridCol w:w="60"/>
        <w:gridCol w:w="62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are secured and the terms of any security interest; </w:t>
            </w:r>
          </w:p>
        </w:tc>
      </w:tr>
    </w:tbl>
    <w:p>
      <w:pPr>
        <w:pStyle w:val="TextBody"/>
        <w:bidi w:val="0"/>
        <w:spacing w:before="0" w:after="0"/>
        <w:jc w:val="left"/>
        <w:rPr/>
      </w:pPr>
      <w:r>
        <w:rPr/>
        <w:t> </w:t>
      </w:r>
    </w:p>
    <w:tbl>
      <w:tblPr>
        <w:tblW w:w="4180" w:type="dxa"/>
        <w:jc w:val="left"/>
        <w:tblInd w:w="0" w:type="dxa"/>
        <w:tblLayout w:type="fixed"/>
        <w:tblCellMar>
          <w:top w:w="0" w:type="dxa"/>
          <w:left w:w="0" w:type="dxa"/>
          <w:bottom w:w="0" w:type="dxa"/>
          <w:right w:w="0" w:type="dxa"/>
        </w:tblCellMar>
      </w:tblPr>
      <w:tblGrid>
        <w:gridCol w:w="75"/>
        <w:gridCol w:w="110"/>
        <w:gridCol w:w="60"/>
        <w:gridCol w:w="3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listing, if any, on a securities exchange; and </w:t>
            </w:r>
          </w:p>
        </w:tc>
      </w:tr>
    </w:tbl>
    <w:p>
      <w:pPr>
        <w:pStyle w:val="TextBody"/>
        <w:bidi w:val="0"/>
        <w:spacing w:before="0" w:after="0"/>
        <w:jc w:val="left"/>
        <w:rPr/>
      </w:pPr>
      <w:r>
        <w:rPr/>
        <w:t> </w:t>
      </w:r>
    </w:p>
    <w:tbl>
      <w:tblPr>
        <w:tblW w:w="1615" w:type="dxa"/>
        <w:jc w:val="left"/>
        <w:tblInd w:w="0" w:type="dxa"/>
        <w:tblLayout w:type="fixed"/>
        <w:tblCellMar>
          <w:top w:w="0" w:type="dxa"/>
          <w:left w:w="0" w:type="dxa"/>
          <w:bottom w:w="0" w:type="dxa"/>
          <w:right w:w="0" w:type="dxa"/>
        </w:tblCellMar>
      </w:tblPr>
      <w:tblGrid>
        <w:gridCol w:w="75"/>
        <w:gridCol w:w="110"/>
        <w:gridCol w:w="60"/>
        <w:gridCol w:w="13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debt securities may be secured or unsecured obligations. Unless the prospectus supplement states otherwise, principal (and premium, if any) and interest, if any, will be paid by us in immediately available funds. </w:t>
      </w:r>
    </w:p>
    <w:p>
      <w:pPr>
        <w:pStyle w:val="TextBody"/>
        <w:bidi w:val="0"/>
        <w:spacing w:before="240" w:after="0"/>
        <w:jc w:val="left"/>
        <w:rPr>
          <w:rFonts w:ascii="Times New Roman" w:hAnsi="Times New Roman"/>
          <w:sz w:val="20"/>
        </w:rPr>
      </w:pPr>
      <w:r>
        <w:rPr>
          <w:rFonts w:ascii="Times New Roman" w:hAnsi="Times New Roman"/>
          <w:sz w:val="20"/>
        </w:rPr>
        <w:t xml:space="preserve">Under the provisions of the 1940 Act, we, as a BDC, pursuant to the approval of our board of directors, are permitted to issue debt only in amounts such that our asset coverage, as defined in the 1940 Act, equals at least 150% after each issuance of debt, but giving effect to any exemptive relief granted to us by the SEC. For a discussion of the legislation that took effect that allows us to incur additional leverage, see “Risk Factors —Risks Relating to Our Business and Structure — Effective April 29, 2020, our asset coverage requirement was reduced from 200% to 150%, which could increase the risk of investment in the Company” in Part I, Item 1A of our most recent Annual Report on Form 10-K.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provides that any debt securities proposed to be sold under this prospectus and the accompanying prospectus supplement (“offered debt securities”) and any debt securities issuable upon the exercise of warrants or upon conversion or exchange of other offered securities (“underlying debt securities”) may be issued under the indenture in one or more series.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prospectus, any reference to the payment of principal of, or premium or interest, if any, on, debt securities will include additional amounts if required by the terms of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indenture does not limit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 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Except as described under “— Events of Default” and “— Merger or Consolidation” below, the indenture does not contain any provisions that give you protection in the event we issue a large amount of debt or we are acquired by another entity. </w:t>
      </w:r>
    </w:p>
    <w:p>
      <w:pPr>
        <w:pStyle w:val="TextBody"/>
        <w:bidi w:val="0"/>
        <w:spacing w:before="240" w:after="0"/>
        <w:jc w:val="left"/>
        <w:rPr>
          <w:rFonts w:ascii="Times New Roman" w:hAnsi="Times New Roman"/>
          <w:sz w:val="20"/>
        </w:rPr>
      </w:pPr>
      <w:r>
        <w:rPr>
          <w:rFonts w:ascii="Times New Roman" w:hAnsi="Times New Roman"/>
          <w:sz w:val="20"/>
        </w:rPr>
        <w:t xml:space="preserve">We refer you to the prospectus supplement for information with respect to any deletions from, modifications of or additions to the Events of Default or our covenants, as applicable, that are described below, including any addition of a covenant or other provision providing event risk protection or similar protection. </w:t>
      </w:r>
    </w:p>
    <w:p>
      <w:pPr>
        <w:pStyle w:val="TextBody"/>
        <w:bidi w:val="0"/>
        <w:spacing w:before="240" w:after="0"/>
        <w:jc w:val="left"/>
        <w:rPr>
          <w:rFonts w:ascii="Times New Roman" w:hAnsi="Times New Roman"/>
          <w:sz w:val="20"/>
        </w:rPr>
      </w:pPr>
      <w:r>
        <w:rPr>
          <w:rFonts w:ascii="Times New Roman" w:hAnsi="Times New Roman"/>
          <w:sz w:val="20"/>
        </w:rPr>
        <w:t xml:space="preserve">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 </w:t>
      </w:r>
    </w:p>
    <w:p>
      <w:pPr>
        <w:pStyle w:val="TextBody"/>
        <w:bidi w:val="0"/>
        <w:spacing w:before="360" w:after="0"/>
        <w:jc w:val="left"/>
        <w:rPr>
          <w:rFonts w:ascii="Times New Roman" w:hAnsi="Times New Roman"/>
          <w:b/>
          <w:sz w:val="20"/>
        </w:rPr>
      </w:pPr>
      <w:r>
        <w:rPr>
          <w:rFonts w:ascii="Times New Roman" w:hAnsi="Times New Roman"/>
          <w:b/>
          <w:sz w:val="20"/>
        </w:rPr>
        <w:t xml:space="preserve">Conversion and Exchange </w:t>
      </w:r>
    </w:p>
    <w:p>
      <w:pPr>
        <w:pStyle w:val="TextBody"/>
        <w:bidi w:val="0"/>
        <w:spacing w:before="120" w:after="0"/>
        <w:jc w:val="left"/>
        <w:rPr>
          <w:rFonts w:ascii="Times New Roman" w:hAnsi="Times New Roman"/>
          <w:sz w:val="20"/>
        </w:rPr>
      </w:pPr>
      <w:r>
        <w:rPr>
          <w:rFonts w:ascii="Times New Roman" w:hAnsi="Times New Roman"/>
          <w:sz w:val="20"/>
        </w:rPr>
        <w:t xml:space="preserve">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Issuance of Securities in Registered Form </w:t>
      </w:r>
    </w:p>
    <w:p>
      <w:pPr>
        <w:pStyle w:val="TextBody"/>
        <w:bidi w:val="0"/>
        <w:spacing w:before="120" w:after="0"/>
        <w:jc w:val="left"/>
        <w:rPr>
          <w:rFonts w:ascii="Times New Roman" w:hAnsi="Times New Roman"/>
          <w:sz w:val="20"/>
        </w:rPr>
      </w:pPr>
      <w:r>
        <w:rPr>
          <w:rFonts w:ascii="Times New Roman" w:hAnsi="Times New Roman"/>
          <w:sz w:val="20"/>
        </w:rPr>
        <w:t xml:space="preserve">We may issue the debt securities in registered form, in which case we may issue them either in book-entry form only or in “certificated” form. Debt securities issued in book-entry form will be represented by global securities. We expect that we will usually issue debt securities in book-entry only form represented by global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Book-Entry Holders </w:t>
      </w:r>
    </w:p>
    <w:p>
      <w:pPr>
        <w:pStyle w:val="TextBody"/>
        <w:bidi w:val="0"/>
        <w:spacing w:before="120" w:after="0"/>
        <w:jc w:val="left"/>
        <w:rPr>
          <w:rFonts w:ascii="Times New Roman" w:hAnsi="Times New Roman"/>
          <w:sz w:val="20"/>
        </w:rPr>
      </w:pPr>
      <w:r>
        <w:rPr>
          <w:rFonts w:ascii="Times New Roman" w:hAnsi="Times New Roman"/>
          <w:sz w:val="20"/>
        </w:rPr>
        <w:t xml:space="preserve">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 </w:t>
      </w:r>
    </w:p>
    <w:p>
      <w:pPr>
        <w:pStyle w:val="TextBody"/>
        <w:bidi w:val="0"/>
        <w:spacing w:before="240" w:after="0"/>
        <w:jc w:val="left"/>
        <w:rPr>
          <w:rFonts w:ascii="Times New Roman" w:hAnsi="Times New Roman"/>
          <w:sz w:val="20"/>
        </w:rPr>
      </w:pPr>
      <w:r>
        <w:rPr>
          <w:rFonts w:ascii="Times New Roman" w:hAnsi="Times New Roman"/>
          <w:sz w:val="20"/>
        </w:rPr>
        <w:t xml:space="preserve">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Street Name Holders </w:t>
      </w:r>
    </w:p>
    <w:p>
      <w:pPr>
        <w:pStyle w:val="TextBody"/>
        <w:bidi w:val="0"/>
        <w:spacing w:before="120" w:after="0"/>
        <w:jc w:val="left"/>
        <w:rPr>
          <w:rFonts w:ascii="Times New Roman" w:hAnsi="Times New Roman"/>
          <w:sz w:val="20"/>
        </w:rPr>
      </w:pPr>
      <w:r>
        <w:rPr>
          <w:rFonts w:ascii="Times New Roman" w:hAnsi="Times New Roman"/>
          <w:sz w:val="20"/>
        </w:rPr>
        <w:t xml:space="preserve">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would hold a beneficial interest in those debt securities through the account he or she maintains at that institution. </w:t>
      </w:r>
    </w:p>
    <w:p>
      <w:pPr>
        <w:pStyle w:val="TextBody"/>
        <w:bidi w:val="0"/>
        <w:spacing w:before="240" w:after="0"/>
        <w:jc w:val="left"/>
        <w:rPr>
          <w:rFonts w:ascii="Times New Roman" w:hAnsi="Times New Roman"/>
          <w:sz w:val="20"/>
        </w:rPr>
      </w:pPr>
      <w:r>
        <w:rPr>
          <w:rFonts w:ascii="Times New Roman" w:hAnsi="Times New Roman"/>
          <w:sz w:val="20"/>
        </w:rPr>
        <w:t xml:space="preserve">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Legal Holders </w:t>
      </w:r>
    </w:p>
    <w:p>
      <w:pPr>
        <w:pStyle w:val="TextBody"/>
        <w:bidi w:val="0"/>
        <w:spacing w:before="120" w:after="0"/>
        <w:jc w:val="left"/>
        <w:rPr>
          <w:rFonts w:ascii="Times New Roman" w:hAnsi="Times New Roman"/>
          <w:sz w:val="20"/>
        </w:rPr>
      </w:pPr>
      <w:r>
        <w:rPr>
          <w:rFonts w:ascii="Times New Roman" w:hAnsi="Times New Roman"/>
          <w:sz w:val="20"/>
        </w:rPr>
        <w:t xml:space="preserve">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 </w:t>
      </w:r>
    </w:p>
    <w:p>
      <w:pPr>
        <w:pStyle w:val="TextBody"/>
        <w:bidi w:val="0"/>
        <w:spacing w:before="240" w:after="0"/>
        <w:jc w:val="left"/>
        <w:rPr>
          <w:rFonts w:ascii="Times New Roman" w:hAnsi="Times New Roman"/>
          <w:sz w:val="20"/>
        </w:rPr>
      </w:pPr>
      <w:r>
        <w:rPr>
          <w:rFonts w:ascii="Times New Roman" w:hAnsi="Times New Roman"/>
          <w:sz w:val="20"/>
        </w:rPr>
        <w:t xml:space="preserve">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 </w:t>
      </w:r>
    </w:p>
    <w:p>
      <w:pPr>
        <w:pStyle w:val="TextBody"/>
        <w:bidi w:val="0"/>
        <w:spacing w:before="240" w:after="0"/>
        <w:jc w:val="left"/>
        <w:rPr>
          <w:rFonts w:ascii="Times New Roman" w:hAnsi="Times New Roman"/>
          <w:sz w:val="20"/>
        </w:rPr>
      </w:pPr>
      <w:r>
        <w:rPr>
          <w:rFonts w:ascii="Times New Roman" w:hAnsi="Times New Roman"/>
          <w:sz w:val="20"/>
        </w:rPr>
        <w:t xml:space="preserve">When we refer to you in this Description of Our Debt Securities, we mean those who invest in the debt securities being offered by this prospectus, whether they are the holders or only indirect holders of those debt securities. When we refer to your debt securities, we mean the debt securities in which you hold a direct or indirect interest. </w:t>
      </w:r>
    </w:p>
    <w:p>
      <w:pPr>
        <w:pStyle w:val="TextBody"/>
        <w:bidi w:val="0"/>
        <w:spacing w:before="360" w:after="0"/>
        <w:jc w:val="left"/>
        <w:rPr>
          <w:rFonts w:ascii="Times New Roman" w:hAnsi="Times New Roman"/>
          <w:b/>
          <w:i/>
          <w:sz w:val="20"/>
        </w:rPr>
      </w:pPr>
      <w:r>
        <w:rPr>
          <w:rFonts w:ascii="Times New Roman" w:hAnsi="Times New Roman"/>
          <w:b/>
          <w:i/>
          <w:sz w:val="20"/>
        </w:rPr>
        <w:t xml:space="preserve">Special Considerations for Indirect Holders </w:t>
      </w:r>
    </w:p>
    <w:p>
      <w:pPr>
        <w:pStyle w:val="TextBody"/>
        <w:bidi w:val="0"/>
        <w:spacing w:before="120" w:after="0"/>
        <w:jc w:val="left"/>
        <w:rPr>
          <w:rFonts w:ascii="Times New Roman" w:hAnsi="Times New Roman"/>
          <w:sz w:val="20"/>
        </w:rPr>
      </w:pPr>
      <w:r>
        <w:rPr>
          <w:rFonts w:ascii="Times New Roman" w:hAnsi="Times New Roman"/>
          <w:sz w:val="20"/>
        </w:rPr>
        <w:t xml:space="preserve">If you hold debt securities through a bank, broker or other financial institution, either in book-entry form or in street name, we urge you to check with that institution to find out: </w:t>
      </w:r>
    </w:p>
    <w:p>
      <w:pPr>
        <w:pStyle w:val="TextBody"/>
        <w:bidi w:val="0"/>
        <w:spacing w:before="0" w:after="0"/>
        <w:jc w:val="left"/>
        <w:rPr/>
      </w:pPr>
      <w:r>
        <w:rPr/>
        <w:t> </w:t>
      </w:r>
    </w:p>
    <w:tbl>
      <w:tblPr>
        <w:tblW w:w="4180" w:type="dxa"/>
        <w:jc w:val="left"/>
        <w:tblInd w:w="0" w:type="dxa"/>
        <w:tblLayout w:type="fixed"/>
        <w:tblCellMar>
          <w:top w:w="0" w:type="dxa"/>
          <w:left w:w="0" w:type="dxa"/>
          <w:bottom w:w="0" w:type="dxa"/>
          <w:right w:w="0" w:type="dxa"/>
        </w:tblCellMar>
      </w:tblPr>
      <w:tblGrid>
        <w:gridCol w:w="75"/>
        <w:gridCol w:w="110"/>
        <w:gridCol w:w="60"/>
        <w:gridCol w:w="3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how it handles securities payments and notices; </w:t>
            </w:r>
          </w:p>
        </w:tc>
      </w:tr>
    </w:tbl>
    <w:p>
      <w:pPr>
        <w:pStyle w:val="TextBody"/>
        <w:bidi w:val="0"/>
        <w:spacing w:before="0" w:after="0"/>
        <w:jc w:val="left"/>
        <w:rPr/>
      </w:pPr>
      <w:r>
        <w:rPr/>
        <w:t> </w:t>
      </w:r>
    </w:p>
    <w:tbl>
      <w:tblPr>
        <w:tblW w:w="3130" w:type="dxa"/>
        <w:jc w:val="left"/>
        <w:tblInd w:w="0" w:type="dxa"/>
        <w:tblLayout w:type="fixed"/>
        <w:tblCellMar>
          <w:top w:w="0" w:type="dxa"/>
          <w:left w:w="0" w:type="dxa"/>
          <w:bottom w:w="0" w:type="dxa"/>
          <w:right w:w="0" w:type="dxa"/>
        </w:tblCellMar>
      </w:tblPr>
      <w:tblGrid>
        <w:gridCol w:w="75"/>
        <w:gridCol w:w="110"/>
        <w:gridCol w:w="60"/>
        <w:gridCol w:w="28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it imposes fees or charges; </w:t>
            </w:r>
          </w:p>
        </w:tc>
      </w:tr>
    </w:tbl>
    <w:p>
      <w:pPr>
        <w:pStyle w:val="TextBody"/>
        <w:bidi w:val="0"/>
        <w:spacing w:before="0" w:after="0"/>
        <w:jc w:val="left"/>
        <w:rPr/>
      </w:pPr>
      <w:r>
        <w:rPr/>
        <w:t> </w:t>
      </w:r>
    </w:p>
    <w:tbl>
      <w:tblPr>
        <w:tblW w:w="6085" w:type="dxa"/>
        <w:jc w:val="left"/>
        <w:tblInd w:w="0" w:type="dxa"/>
        <w:tblLayout w:type="fixed"/>
        <w:tblCellMar>
          <w:top w:w="0" w:type="dxa"/>
          <w:left w:w="0" w:type="dxa"/>
          <w:bottom w:w="0" w:type="dxa"/>
          <w:right w:w="0" w:type="dxa"/>
        </w:tblCellMar>
      </w:tblPr>
      <w:tblGrid>
        <w:gridCol w:w="75"/>
        <w:gridCol w:w="110"/>
        <w:gridCol w:w="60"/>
        <w:gridCol w:w="58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how it would handle a request for the holders’ consent, if ever required;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and how you can instruct it to send you debt securities registered in your own name so you can be a holder, if that is permitted in the future for a particular series of debt securities;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how it would exercise rights under the debt securities if there were a default or other event triggering the need for holders to act to protect their interests; and </w:t>
            </w:r>
          </w:p>
        </w:tc>
      </w:tr>
    </w:tbl>
    <w:p>
      <w:pPr>
        <w:pStyle w:val="TextBody"/>
        <w:bidi w:val="0"/>
        <w:spacing w:before="0" w:after="0"/>
        <w:jc w:val="left"/>
        <w:rPr/>
      </w:pPr>
      <w:r>
        <w:rPr/>
        <w:t> </w:t>
      </w:r>
    </w:p>
    <w:tbl>
      <w:tblPr>
        <w:tblW w:w="9295" w:type="dxa"/>
        <w:jc w:val="left"/>
        <w:tblInd w:w="0" w:type="dxa"/>
        <w:tblLayout w:type="fixed"/>
        <w:tblCellMar>
          <w:top w:w="0" w:type="dxa"/>
          <w:left w:w="0" w:type="dxa"/>
          <w:bottom w:w="0" w:type="dxa"/>
          <w:right w:w="0" w:type="dxa"/>
        </w:tblCellMar>
      </w:tblPr>
      <w:tblGrid>
        <w:gridCol w:w="75"/>
        <w:gridCol w:w="110"/>
        <w:gridCol w:w="60"/>
        <w:gridCol w:w="90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debt securities are in book-entry form, how the depositary’s rules and procedures will affect these matters.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As noted above, we usually will issue debt securities as registered securities in book-entry form only. A global security represents one or any other number of individual debt securities. Generally, all debt securities represented by the same global securities will have the same terms. </w:t>
      </w:r>
    </w:p>
    <w:p>
      <w:pPr>
        <w:pStyle w:val="TextBody"/>
        <w:bidi w:val="0"/>
        <w:spacing w:before="240" w:after="0"/>
        <w:jc w:val="left"/>
        <w:rPr>
          <w:rFonts w:ascii="Times New Roman" w:hAnsi="Times New Roman"/>
          <w:sz w:val="20"/>
        </w:rPr>
      </w:pPr>
      <w:r>
        <w:rPr>
          <w:rFonts w:ascii="Times New Roman" w:hAnsi="Times New Roman"/>
          <w:sz w:val="20"/>
        </w:rPr>
        <w:t xml:space="preserve">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 </w:t>
      </w:r>
    </w:p>
    <w:p>
      <w:pPr>
        <w:pStyle w:val="TextBody"/>
        <w:bidi w:val="0"/>
        <w:spacing w:before="240" w:after="0"/>
        <w:jc w:val="left"/>
        <w:rPr>
          <w:rFonts w:ascii="Times New Roman" w:hAnsi="Times New Roman"/>
          <w:sz w:val="20"/>
        </w:rPr>
      </w:pPr>
      <w:r>
        <w:rPr>
          <w:rFonts w:ascii="Times New Roman" w:hAnsi="Times New Roman"/>
          <w:sz w:val="20"/>
        </w:rPr>
        <w:t xml:space="preserve">A global security may not be transferred to or registered in the name of anyone other than the depositary or its nominee, unless special termination situations arise. We describe those situations below under “— Termination of a Global Security.”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Special Considerations for 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 </w:t>
      </w:r>
    </w:p>
    <w:p>
      <w:pPr>
        <w:pStyle w:val="TextBody"/>
        <w:bidi w:val="0"/>
        <w:spacing w:before="240" w:after="0"/>
        <w:jc w:val="left"/>
        <w:rPr>
          <w:rFonts w:ascii="Times New Roman" w:hAnsi="Times New Roman"/>
          <w:sz w:val="20"/>
        </w:rPr>
      </w:pPr>
      <w:r>
        <w:rPr>
          <w:rFonts w:ascii="Times New Roman" w:hAnsi="Times New Roman"/>
          <w:sz w:val="20"/>
        </w:rPr>
        <w:t xml:space="preserve">If debt securities are issued only in the form of a global security, an investor should be aware of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investor cannot cause the debt securities to be registered in his or her name and cannot obtain certificates for his or her interest in the debt securities, except in the special situations we describe below;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investor will be an indirect holder and must look to his or her own bank or broker for payments on the debt securities and protection of his or her legal rights relating to the debt securities, as we describe under “— Issuance of Securities in Registered Form” above;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investor may not be able to sell interests in the debt securities to some insurance companies and other institutions that are required by law to own their securities in non-book-entry form;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investor may not be able to pledge his or her interest in a global security in circumstances where certificates representing the debt securities must be delivered to the lender or other beneficiary of the pledge in order for the pledge to be effective;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we redeem less than all the debt securities of a particular series being redeemed, DTC’s practice is to determine by lot the amount to be redeemed from each of its participants holding that series;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Termination of a Global Security </w:t>
      </w:r>
    </w:p>
    <w:p>
      <w:pPr>
        <w:pStyle w:val="TextBody"/>
        <w:bidi w:val="0"/>
        <w:spacing w:before="120" w:after="0"/>
        <w:jc w:val="left"/>
        <w:rPr>
          <w:rFonts w:ascii="Times New Roman" w:hAnsi="Times New Roman"/>
          <w:sz w:val="20"/>
        </w:rPr>
      </w:pPr>
      <w:r>
        <w:rPr>
          <w:rFonts w:ascii="Times New Roman" w:hAnsi="Times New Roman"/>
          <w:sz w:val="20"/>
        </w:rPr>
        <w:t xml:space="preserve">If a global security is terminated for any reason,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legal holders and street name investors under “— Issuance of Securities in Registered Form” above.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investors in whose names the debt securities represented by the global security will be registered and, therefore, who will be the holders of those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Payment and Paying Agents </w:t>
      </w:r>
    </w:p>
    <w:p>
      <w:pPr>
        <w:pStyle w:val="TextBody"/>
        <w:bidi w:val="0"/>
        <w:spacing w:before="120" w:after="0"/>
        <w:jc w:val="left"/>
        <w:rPr>
          <w:rFonts w:ascii="Times New Roman" w:hAnsi="Times New Roman"/>
          <w:sz w:val="20"/>
        </w:rPr>
      </w:pPr>
      <w:r>
        <w:rPr>
          <w:rFonts w:ascii="Times New Roman" w:hAnsi="Times New Roman"/>
          <w:sz w:val="20"/>
        </w:rPr>
        <w:t xml:space="preserve">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usually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 </w:t>
      </w:r>
    </w:p>
    <w:p>
      <w:pPr>
        <w:pStyle w:val="TextBody"/>
        <w:bidi w:val="0"/>
        <w:spacing w:before="360" w:after="0"/>
        <w:jc w:val="left"/>
        <w:rPr>
          <w:rFonts w:ascii="Times New Roman" w:hAnsi="Times New Roman"/>
          <w:b/>
          <w:i/>
          <w:sz w:val="20"/>
        </w:rPr>
      </w:pPr>
      <w:r>
        <w:rPr>
          <w:rFonts w:ascii="Times New Roman" w:hAnsi="Times New Roman"/>
          <w:b/>
          <w:i/>
          <w:sz w:val="20"/>
        </w:rPr>
        <w:t xml:space="preserve">Payments on 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 Special Considerations for Global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Payments on Certificated Securities </w:t>
      </w:r>
    </w:p>
    <w:p>
      <w:pPr>
        <w:pStyle w:val="TextBody"/>
        <w:bidi w:val="0"/>
        <w:spacing w:before="120" w:after="0"/>
        <w:jc w:val="left"/>
        <w:rPr>
          <w:rFonts w:ascii="Times New Roman" w:hAnsi="Times New Roman"/>
          <w:sz w:val="20"/>
        </w:rPr>
      </w:pPr>
      <w:r>
        <w:rPr>
          <w:rFonts w:ascii="Times New Roman" w:hAnsi="Times New Roman"/>
          <w:sz w:val="20"/>
        </w:rPr>
        <w:t xml:space="preserve">We will make payments on a certificated debt security as follows. We will pay interest that is due on an interest payment date to the holder of debt securities as shown on the trustee’s records as of the close of business on the regular record date at our office and/or at other offices that may be specified in the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will make all payments of principal and premium, if any, by check at the office of the applicable trustee and/or at other offices that may be specified in the prospectus supplement or in a notice to holders against surrender of the debt security. </w:t>
      </w:r>
    </w:p>
    <w:p>
      <w:pPr>
        <w:pStyle w:val="TextBody"/>
        <w:bidi w:val="0"/>
        <w:spacing w:before="240" w:after="0"/>
        <w:jc w:val="left"/>
        <w:rPr>
          <w:rFonts w:ascii="Times New Roman" w:hAnsi="Times New Roman"/>
          <w:sz w:val="20"/>
        </w:rPr>
      </w:pPr>
      <w:r>
        <w:rPr>
          <w:rFonts w:ascii="Times New Roman" w:hAnsi="Times New Roman"/>
          <w:sz w:val="20"/>
        </w:rPr>
        <w:t xml:space="preserve">Alternatively, at our option, we may pay any cash interest that becomes due on the debt security by mailing a check to the holder at his, her or its address shown on the trustee’s records as of the close of business on the regular record date or by transfer to an account at a bank in the United States, in either case, on the due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Payment When Offices Are Closed </w:t>
      </w:r>
    </w:p>
    <w:p>
      <w:pPr>
        <w:pStyle w:val="TextBody"/>
        <w:bidi w:val="0"/>
        <w:spacing w:before="120" w:after="0"/>
        <w:jc w:val="left"/>
        <w:rPr>
          <w:rFonts w:ascii="Times New Roman" w:hAnsi="Times New Roman"/>
          <w:sz w:val="20"/>
        </w:rPr>
      </w:pPr>
      <w:r>
        <w:rPr>
          <w:rFonts w:ascii="Times New Roman" w:hAnsi="Times New Roman"/>
          <w:sz w:val="20"/>
        </w:rPr>
        <w:t xml:space="preserve">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 </w:t>
      </w:r>
    </w:p>
    <w:p>
      <w:pPr>
        <w:pStyle w:val="TextBody"/>
        <w:bidi w:val="0"/>
        <w:spacing w:before="240" w:after="0"/>
        <w:jc w:val="left"/>
        <w:rPr>
          <w:rFonts w:ascii="Times New Roman" w:hAnsi="Times New Roman"/>
          <w:sz w:val="20"/>
        </w:rPr>
      </w:pPr>
      <w:r>
        <w:rPr>
          <w:rFonts w:ascii="Times New Roman" w:hAnsi="Times New Roman"/>
          <w:sz w:val="20"/>
        </w:rPr>
        <w:t xml:space="preserve">Book-entry and other indirect holders should consult their banks or brokers for information on how they will receive payments on their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You will have rights if an Event of Default occurs in respect of the debt securities of your series and is not cured, as described later in this subsection. </w:t>
      </w:r>
    </w:p>
    <w:p>
      <w:pPr>
        <w:pStyle w:val="TextBody"/>
        <w:bidi w:val="0"/>
        <w:spacing w:before="240" w:after="0"/>
        <w:jc w:val="left"/>
        <w:rPr>
          <w:rFonts w:ascii="Times New Roman" w:hAnsi="Times New Roman"/>
          <w:sz w:val="20"/>
        </w:rPr>
      </w:pPr>
      <w:r>
        <w:rPr>
          <w:rFonts w:ascii="Times New Roman" w:hAnsi="Times New Roman"/>
          <w:sz w:val="20"/>
        </w:rPr>
        <w:t xml:space="preserve">The term “Event of Default” in respect of the debt securities of your series means any of the following: </w:t>
      </w:r>
    </w:p>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75"/>
        <w:gridCol w:w="110"/>
        <w:gridCol w:w="60"/>
        <w:gridCol w:w="90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do not pay the principal of, or any premium on, a debt security of the series within five days of its due date; </w:t>
            </w:r>
          </w:p>
        </w:tc>
      </w:tr>
    </w:tbl>
    <w:p>
      <w:pPr>
        <w:pStyle w:val="TextBody"/>
        <w:bidi w:val="0"/>
        <w:spacing w:before="0" w:after="0"/>
        <w:jc w:val="left"/>
        <w:rPr/>
      </w:pPr>
      <w:r>
        <w:rPr/>
        <w:t> </w:t>
      </w:r>
    </w:p>
    <w:tbl>
      <w:tblPr>
        <w:tblW w:w="9145" w:type="dxa"/>
        <w:jc w:val="left"/>
        <w:tblInd w:w="0" w:type="dxa"/>
        <w:tblLayout w:type="fixed"/>
        <w:tblCellMar>
          <w:top w:w="0" w:type="dxa"/>
          <w:left w:w="0" w:type="dxa"/>
          <w:bottom w:w="0" w:type="dxa"/>
          <w:right w:w="0" w:type="dxa"/>
        </w:tblCellMar>
      </w:tblPr>
      <w:tblGrid>
        <w:gridCol w:w="75"/>
        <w:gridCol w:w="110"/>
        <w:gridCol w:w="60"/>
        <w:gridCol w:w="89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do not pay interest on a debt security of the series when due, and such default is not cured within 30 days;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remain in breach of a covenant in respect of debt securities of the series for 60 days after we receive a written notice of default stating we are in breach (the notice must be sent by either the trustee or holders of at least 25% of the principal amount of the debt securities of the series);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file for bankruptcy or certain other events of bankruptcy, insolvency or reorganization occur and remain undischarged or unstayed for a period of 90 days;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series of debt securities has an asset coverage, as such term is defined in the 1940 Act, of less than 100% on the last business day of each of twenty-four consecutive calendar months, after giving effect to any exemptive relief granted to the Company by the SEC; or </w:t>
            </w:r>
          </w:p>
        </w:tc>
      </w:tr>
    </w:tbl>
    <w:p>
      <w:pPr>
        <w:pStyle w:val="TextBody"/>
        <w:bidi w:val="0"/>
        <w:spacing w:before="0" w:after="0"/>
        <w:jc w:val="left"/>
        <w:rPr/>
      </w:pPr>
      <w:r>
        <w:rPr/>
        <w:t> </w:t>
      </w:r>
    </w:p>
    <w:tbl>
      <w:tblPr>
        <w:tblW w:w="9580" w:type="dxa"/>
        <w:jc w:val="left"/>
        <w:tblInd w:w="0" w:type="dxa"/>
        <w:tblLayout w:type="fixed"/>
        <w:tblCellMar>
          <w:top w:w="0" w:type="dxa"/>
          <w:left w:w="0" w:type="dxa"/>
          <w:bottom w:w="0" w:type="dxa"/>
          <w:right w:w="0" w:type="dxa"/>
        </w:tblCellMar>
      </w:tblPr>
      <w:tblGrid>
        <w:gridCol w:w="75"/>
        <w:gridCol w:w="110"/>
        <w:gridCol w:w="60"/>
        <w:gridCol w:w="93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in respect of debt securities of the series described in the prospectus supplement occurs.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 Event of Default for a particular series of debt securities does not necessarily constitute an Event of Default for any other series of debt securities issued under the same or any other indenture. The trustee may withhold notice to the holders of the debt securities of any default, except in the payment of principal, premium, interest, or sinking or purchase fund installment, if it in good faith considers the withholding of notice to be in the interest of the 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Remedies if an Event of Default Occurs </w:t>
      </w:r>
    </w:p>
    <w:p>
      <w:pPr>
        <w:pStyle w:val="TextBody"/>
        <w:bidi w:val="0"/>
        <w:spacing w:before="120" w:after="0"/>
        <w:jc w:val="left"/>
        <w:rPr>
          <w:rFonts w:ascii="Times New Roman" w:hAnsi="Times New Roman"/>
          <w:sz w:val="20"/>
        </w:rPr>
      </w:pPr>
      <w:r>
        <w:rPr>
          <w:rFonts w:ascii="Times New Roman" w:hAnsi="Times New Roman"/>
          <w:sz w:val="20"/>
        </w:rPr>
        <w:t xml:space="preserve">If an Event of Default has occurred and is continuing, the trustee or the holders of not less than 25% in principal amount of the outstanding debt securities of the affected series may (and the trustee shall at the request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such holders) declare the entire principal amount of all the debt securities of that series to be due and immediately payable. This is called a declaration of acceleration of maturity. In certain circumstances, a declaration of acceleration of maturity may be canceled by the holders of a majority in principal amount of the outstanding debt securities of the affected series if (1) we have deposited with the trustee all amounts due and owing with respect to the securities (other than principal that has become due solely by reason of such acceleration) and certain other amounts, and (2) any other Events of Default have been cured or waived. </w:t>
      </w:r>
    </w:p>
    <w:p>
      <w:pPr>
        <w:pStyle w:val="TextBody"/>
        <w:bidi w:val="0"/>
        <w:spacing w:before="240" w:after="0"/>
        <w:jc w:val="left"/>
        <w:rPr>
          <w:rFonts w:ascii="Times New Roman" w:hAnsi="Times New Roman"/>
          <w:sz w:val="20"/>
        </w:rPr>
      </w:pPr>
      <w:r>
        <w:rPr>
          <w:rFonts w:ascii="Times New Roman" w:hAnsi="Times New Roman"/>
          <w:sz w:val="20"/>
        </w:rPr>
        <w:t xml:space="preserve">The trustee is not required to take any action under the indenture at the request of any holders unless the holders offer the trustee protection from expenses and liability reasonably satisfactory to it (called an “indemnity”). If indemnity reasonably satisfactory to the trustee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Before you are allowed to bypass your trustee and bring your own lawsuit or other formal legal action or take other steps to enforce your rights or protect your interests relating to the debt securities, the following must occur: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must give the trustee written notice that an Event of Default with respect to the relevant debt securities has occurred and remains uncured;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at least 25% in principal amount of all outstanding debt securities of the relevant series must make a written request that the trustee take action because of the default and must offer the trustee indemnity, security or both reasonably satisfactory to it against the cost, expenses, and other liabilities of taking that action;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trustee must not have taken action for 60 days after receipt of the above notice and offer of indemnity and/or security;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 majority in principal amount of the outstanding debt securities of that series must not have given the trustee a direction inconsistent with the above notice during that 60-day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you are entitled at any time to bring a lawsuit for the payment of money due on your debt securities on or after the due date. </w:t>
      </w:r>
    </w:p>
    <w:p>
      <w:pPr>
        <w:pStyle w:val="TextBody"/>
        <w:bidi w:val="0"/>
        <w:spacing w:before="240" w:after="0"/>
        <w:jc w:val="left"/>
        <w:rPr>
          <w:rFonts w:ascii="Times New Roman" w:hAnsi="Times New Roman"/>
          <w:b/>
          <w:sz w:val="20"/>
        </w:rPr>
      </w:pPr>
      <w:r>
        <w:rPr>
          <w:rFonts w:ascii="Times New Roman" w:hAnsi="Times New Roman"/>
          <w:b/>
          <w:sz w:val="20"/>
        </w:rPr>
        <w:t xml:space="preserve">Book-entry and other indirect holders should consult their banks or brokers for information on how to give notice or direction to or make a request of the trustee and how to declare or cancel an acceleration of maturity. </w:t>
      </w:r>
    </w:p>
    <w:p>
      <w:pPr>
        <w:pStyle w:val="TextBody"/>
        <w:bidi w:val="0"/>
        <w:spacing w:before="240" w:after="0"/>
        <w:jc w:val="left"/>
        <w:rPr>
          <w:rFonts w:ascii="Times New Roman" w:hAnsi="Times New Roman"/>
          <w:sz w:val="20"/>
        </w:rPr>
      </w:pPr>
      <w:r>
        <w:rPr>
          <w:rFonts w:ascii="Times New Roman" w:hAnsi="Times New Roman"/>
          <w:sz w:val="20"/>
        </w:rPr>
        <w:t xml:space="preserve">Each year, we will furnish to each trustee a written statement of certain of our officers certifying that to their knowledge we are in compliance with the indenture and the debt securities, or else specifying any default. </w:t>
      </w:r>
    </w:p>
    <w:p>
      <w:pPr>
        <w:pStyle w:val="TextBody"/>
        <w:bidi w:val="0"/>
        <w:spacing w:before="360" w:after="0"/>
        <w:jc w:val="left"/>
        <w:rPr>
          <w:rFonts w:ascii="Times New Roman" w:hAnsi="Times New Roman"/>
          <w:b/>
          <w:i/>
          <w:sz w:val="20"/>
        </w:rPr>
      </w:pPr>
      <w:r>
        <w:rPr>
          <w:rFonts w:ascii="Times New Roman" w:hAnsi="Times New Roman"/>
          <w:b/>
          <w:i/>
          <w:sz w:val="20"/>
        </w:rPr>
        <w:t xml:space="preserve">Waiver of Default </w:t>
      </w:r>
    </w:p>
    <w:p>
      <w:pPr>
        <w:pStyle w:val="TextBody"/>
        <w:bidi w:val="0"/>
        <w:spacing w:before="240" w:after="0"/>
        <w:jc w:val="left"/>
        <w:rPr>
          <w:rFonts w:ascii="Times New Roman" w:hAnsi="Times New Roman"/>
          <w:sz w:val="20"/>
        </w:rPr>
      </w:pPr>
      <w:r>
        <w:rPr>
          <w:rFonts w:ascii="Times New Roman" w:hAnsi="Times New Roman"/>
          <w:sz w:val="20"/>
        </w:rPr>
        <w:t xml:space="preserve">Holders of a majority in principal amount of the outstanding debt securities of the affected series may waive any past defaults other than a default: </w:t>
      </w:r>
    </w:p>
    <w:p>
      <w:pPr>
        <w:pStyle w:val="TextBody"/>
        <w:bidi w:val="0"/>
        <w:spacing w:before="0" w:after="0"/>
        <w:jc w:val="left"/>
        <w:rPr/>
      </w:pPr>
      <w:r>
        <w:rPr/>
        <w:t> </w:t>
      </w:r>
    </w:p>
    <w:tbl>
      <w:tblPr>
        <w:tblW w:w="3655" w:type="dxa"/>
        <w:jc w:val="left"/>
        <w:tblInd w:w="0" w:type="dxa"/>
        <w:tblLayout w:type="fixed"/>
        <w:tblCellMar>
          <w:top w:w="0" w:type="dxa"/>
          <w:left w:w="0" w:type="dxa"/>
          <w:bottom w:w="0" w:type="dxa"/>
          <w:right w:w="0" w:type="dxa"/>
        </w:tblCellMar>
      </w:tblPr>
      <w:tblGrid>
        <w:gridCol w:w="75"/>
        <w:gridCol w:w="110"/>
        <w:gridCol w:w="60"/>
        <w:gridCol w:w="34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the payment of principal or interest; or </w:t>
            </w:r>
          </w:p>
        </w:tc>
      </w:tr>
    </w:tbl>
    <w:p>
      <w:pPr>
        <w:pStyle w:val="TextBody"/>
        <w:bidi w:val="0"/>
        <w:spacing w:before="0" w:after="0"/>
        <w:jc w:val="left"/>
        <w:rPr/>
      </w:pPr>
      <w:r>
        <w:rPr/>
        <w:t> </w:t>
      </w:r>
    </w:p>
    <w:tbl>
      <w:tblPr>
        <w:tblW w:w="8110" w:type="dxa"/>
        <w:jc w:val="left"/>
        <w:tblInd w:w="0" w:type="dxa"/>
        <w:tblLayout w:type="fixed"/>
        <w:tblCellMar>
          <w:top w:w="0" w:type="dxa"/>
          <w:left w:w="0" w:type="dxa"/>
          <w:bottom w:w="0" w:type="dxa"/>
          <w:right w:w="0" w:type="dxa"/>
        </w:tblCellMar>
      </w:tblPr>
      <w:tblGrid>
        <w:gridCol w:w="75"/>
        <w:gridCol w:w="110"/>
        <w:gridCol w:w="60"/>
        <w:gridCol w:w="78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respect of a covenant that cannot be modified or amended without the consent of each holder.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Merger or Consolidation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indenture, we are generally permitted to consolidate or merge with another entity. We are also permitted to sell all or substantially all of our assets to another entity. However, we may not take any of these actions unless all the following conditions are met: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where we merge out of existence or convey or transfer our assets substantially as an entirety, the resulting entity must agree to be legally responsible for our obligations under the debt securities;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merger or sale of assets must not cause a default on the debt securities and we must not already be in default (unless the merger or sale would cure the default). For purposes of this no-default test, a default would include an Event of Default that has occurred and has not been cured, as described under “Events of Default” above. A default for this purpose would also include any event that would be an Event of Default if the requirements for giving us a notice of default or our default having to exist for a specific period of time were disregarded; </w:t>
            </w:r>
          </w:p>
        </w:tc>
      </w:tr>
    </w:tbl>
    <w:p>
      <w:pPr>
        <w:pStyle w:val="TextBody"/>
        <w:bidi w:val="0"/>
        <w:spacing w:before="0" w:after="0"/>
        <w:jc w:val="left"/>
        <w:rPr/>
      </w:pPr>
      <w:r>
        <w:rPr/>
        <w:t> </w:t>
      </w:r>
    </w:p>
    <w:tbl>
      <w:tblPr>
        <w:tblW w:w="5905" w:type="dxa"/>
        <w:jc w:val="left"/>
        <w:tblInd w:w="0" w:type="dxa"/>
        <w:tblLayout w:type="fixed"/>
        <w:tblCellMar>
          <w:top w:w="0" w:type="dxa"/>
          <w:left w:w="0" w:type="dxa"/>
          <w:bottom w:w="0" w:type="dxa"/>
          <w:right w:w="0" w:type="dxa"/>
        </w:tblCellMar>
      </w:tblPr>
      <w:tblGrid>
        <w:gridCol w:w="75"/>
        <w:gridCol w:w="110"/>
        <w:gridCol w:w="60"/>
        <w:gridCol w:w="56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certain certificates and documents to the trustee;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must satisfy any other requirements specified in the prospectus supplement relating to a particular series of debt securities.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Modification or Waiver </w:t>
      </w:r>
    </w:p>
    <w:p>
      <w:pPr>
        <w:pStyle w:val="TextBody"/>
        <w:bidi w:val="0"/>
        <w:spacing w:before="120" w:after="0"/>
        <w:jc w:val="left"/>
        <w:rPr>
          <w:rFonts w:ascii="Times New Roman" w:hAnsi="Times New Roman"/>
          <w:sz w:val="20"/>
        </w:rPr>
      </w:pPr>
      <w:r>
        <w:rPr>
          <w:rFonts w:ascii="Times New Roman" w:hAnsi="Times New Roman"/>
          <w:sz w:val="20"/>
        </w:rPr>
        <w:t xml:space="preserve">There are three types of changes we can make to the indenture and the debt securities issued thereunder.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Requiring Your Approval </w:t>
      </w:r>
    </w:p>
    <w:p>
      <w:pPr>
        <w:pStyle w:val="TextBody"/>
        <w:bidi w:val="0"/>
        <w:spacing w:before="120" w:after="0"/>
        <w:jc w:val="left"/>
        <w:rPr>
          <w:rFonts w:ascii="Times New Roman" w:hAnsi="Times New Roman"/>
          <w:sz w:val="20"/>
        </w:rPr>
      </w:pPr>
      <w:r>
        <w:rPr>
          <w:rFonts w:ascii="Times New Roman" w:hAnsi="Times New Roman"/>
          <w:sz w:val="20"/>
        </w:rPr>
        <w:t xml:space="preserve">First, there are changes that we cannot make to your debt securities without your specific approval. The following is a list of those types of changes: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 the stated maturity of the principal of or interest on a debt security or the terms of any sinking fund with respect to any security; </w:t>
            </w:r>
          </w:p>
        </w:tc>
      </w:tr>
    </w:tbl>
    <w:p>
      <w:pPr>
        <w:pStyle w:val="TextBody"/>
        <w:bidi w:val="0"/>
        <w:spacing w:before="0" w:after="0"/>
        <w:jc w:val="left"/>
        <w:rPr/>
      </w:pPr>
      <w:r>
        <w:rPr/>
        <w:t> </w:t>
      </w:r>
    </w:p>
    <w:tbl>
      <w:tblPr>
        <w:tblW w:w="3835" w:type="dxa"/>
        <w:jc w:val="left"/>
        <w:tblInd w:w="0" w:type="dxa"/>
        <w:tblLayout w:type="fixed"/>
        <w:tblCellMar>
          <w:top w:w="0" w:type="dxa"/>
          <w:left w:w="0" w:type="dxa"/>
          <w:bottom w:w="0" w:type="dxa"/>
          <w:right w:w="0" w:type="dxa"/>
        </w:tblCellMar>
      </w:tblPr>
      <w:tblGrid>
        <w:gridCol w:w="75"/>
        <w:gridCol w:w="110"/>
        <w:gridCol w:w="60"/>
        <w:gridCol w:w="35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reduce any amounts due on a debt security;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reduce the amount of principal payable upon acceleration of the maturity of an original issue discount or indexed security following a default or upon the redemption thereof or the amount thereof provable in a bankruptcy proceeding; </w:t>
            </w:r>
          </w:p>
        </w:tc>
      </w:tr>
    </w:tbl>
    <w:p>
      <w:pPr>
        <w:pStyle w:val="TextBody"/>
        <w:bidi w:val="0"/>
        <w:spacing w:before="0" w:after="0"/>
        <w:jc w:val="left"/>
        <w:rPr/>
      </w:pPr>
      <w:r>
        <w:rPr/>
        <w:t> </w:t>
      </w:r>
    </w:p>
    <w:tbl>
      <w:tblPr>
        <w:tblW w:w="5335" w:type="dxa"/>
        <w:jc w:val="left"/>
        <w:tblInd w:w="0" w:type="dxa"/>
        <w:tblLayout w:type="fixed"/>
        <w:tblCellMar>
          <w:top w:w="0" w:type="dxa"/>
          <w:left w:w="0" w:type="dxa"/>
          <w:bottom w:w="0" w:type="dxa"/>
          <w:right w:w="0" w:type="dxa"/>
        </w:tblCellMar>
      </w:tblPr>
      <w:tblGrid>
        <w:gridCol w:w="75"/>
        <w:gridCol w:w="110"/>
        <w:gridCol w:w="60"/>
        <w:gridCol w:w="50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adversely affect any right of repayment at the holder’s option;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 the place or currency of payment on a debt security (except as otherwise described in the prospectus or prospectus supplement); </w:t>
            </w:r>
          </w:p>
        </w:tc>
      </w:tr>
    </w:tbl>
    <w:p>
      <w:pPr>
        <w:pStyle w:val="TextBody"/>
        <w:bidi w:val="0"/>
        <w:spacing w:before="0" w:after="0"/>
        <w:jc w:val="left"/>
        <w:rPr/>
      </w:pPr>
      <w:r>
        <w:rPr/>
        <w:t> </w:t>
      </w:r>
    </w:p>
    <w:tbl>
      <w:tblPr>
        <w:tblW w:w="3310" w:type="dxa"/>
        <w:jc w:val="left"/>
        <w:tblInd w:w="0" w:type="dxa"/>
        <w:tblLayout w:type="fixed"/>
        <w:tblCellMar>
          <w:top w:w="0" w:type="dxa"/>
          <w:left w:w="0" w:type="dxa"/>
          <w:bottom w:w="0" w:type="dxa"/>
          <w:right w:w="0" w:type="dxa"/>
        </w:tblCellMar>
      </w:tblPr>
      <w:tblGrid>
        <w:gridCol w:w="75"/>
        <w:gridCol w:w="110"/>
        <w:gridCol w:w="60"/>
        <w:gridCol w:w="30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impair your right to sue for payment; </w:t>
            </w:r>
          </w:p>
        </w:tc>
      </w:tr>
    </w:tbl>
    <w:p>
      <w:pPr>
        <w:pStyle w:val="TextBody"/>
        <w:bidi w:val="0"/>
        <w:spacing w:before="0" w:after="0"/>
        <w:jc w:val="left"/>
        <w:rPr/>
      </w:pPr>
      <w:r>
        <w:rPr/>
        <w:t> </w:t>
      </w:r>
    </w:p>
    <w:tbl>
      <w:tblPr>
        <w:tblW w:w="7870" w:type="dxa"/>
        <w:jc w:val="left"/>
        <w:tblInd w:w="0" w:type="dxa"/>
        <w:tblLayout w:type="fixed"/>
        <w:tblCellMar>
          <w:top w:w="0" w:type="dxa"/>
          <w:left w:w="0" w:type="dxa"/>
          <w:bottom w:w="0" w:type="dxa"/>
          <w:right w:w="0" w:type="dxa"/>
        </w:tblCellMar>
      </w:tblPr>
      <w:tblGrid>
        <w:gridCol w:w="75"/>
        <w:gridCol w:w="110"/>
        <w:gridCol w:w="60"/>
        <w:gridCol w:w="76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adversely affect any right to convert or exchange a debt security in accordance with its terms;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modify the subordination provisions in the indenture in a manner that is adverse to outstanding holders of the debt securities; </w:t>
            </w:r>
          </w:p>
        </w:tc>
      </w:tr>
    </w:tbl>
    <w:p>
      <w:pPr>
        <w:pStyle w:val="TextBody"/>
        <w:bidi w:val="0"/>
        <w:spacing w:before="0" w:after="0"/>
        <w:jc w:val="left"/>
        <w:rPr/>
      </w:pPr>
      <w:r>
        <w:rPr/>
        <w:t> </w:t>
      </w:r>
    </w:p>
    <w:tbl>
      <w:tblPr>
        <w:tblW w:w="9235" w:type="dxa"/>
        <w:jc w:val="left"/>
        <w:tblInd w:w="0" w:type="dxa"/>
        <w:tblLayout w:type="fixed"/>
        <w:tblCellMar>
          <w:top w:w="0" w:type="dxa"/>
          <w:left w:w="0" w:type="dxa"/>
          <w:bottom w:w="0" w:type="dxa"/>
          <w:right w:w="0" w:type="dxa"/>
        </w:tblCellMar>
      </w:tblPr>
      <w:tblGrid>
        <w:gridCol w:w="75"/>
        <w:gridCol w:w="110"/>
        <w:gridCol w:w="60"/>
        <w:gridCol w:w="89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of holders of debt securities whose consent is needed to modify or amend the indenture;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of holders of debt securities whose consent is needed to waive compliance with certain provisions of the indenture or to waive certain defaults;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modify any other aspect of the provisions of the indenture dealing with supplemental indentures with the consent of holders, waiver of past defaults, changes to the quorum or voting requirements or the waiver of certain covenants; and </w:t>
            </w:r>
          </w:p>
        </w:tc>
      </w:tr>
    </w:tbl>
    <w:p>
      <w:pPr>
        <w:pStyle w:val="TextBody"/>
        <w:bidi w:val="0"/>
        <w:spacing w:before="0" w:after="0"/>
        <w:jc w:val="left"/>
        <w:rPr/>
      </w:pPr>
      <w:r>
        <w:rPr/>
        <w:t> </w:t>
      </w:r>
    </w:p>
    <w:tbl>
      <w:tblPr>
        <w:tblW w:w="5080" w:type="dxa"/>
        <w:jc w:val="left"/>
        <w:tblInd w:w="0" w:type="dxa"/>
        <w:tblLayout w:type="fixed"/>
        <w:tblCellMar>
          <w:top w:w="0" w:type="dxa"/>
          <w:left w:w="0" w:type="dxa"/>
          <w:bottom w:w="0" w:type="dxa"/>
          <w:right w:w="0" w:type="dxa"/>
        </w:tblCellMar>
      </w:tblPr>
      <w:tblGrid>
        <w:gridCol w:w="75"/>
        <w:gridCol w:w="110"/>
        <w:gridCol w:w="60"/>
        <w:gridCol w:w="48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 any obligation we have to pay additional amounts.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Changes Not Requiring Approval </w:t>
      </w:r>
    </w:p>
    <w:p>
      <w:pPr>
        <w:pStyle w:val="TextBody"/>
        <w:bidi w:val="0"/>
        <w:spacing w:before="120" w:after="0"/>
        <w:jc w:val="left"/>
        <w:rPr>
          <w:rFonts w:ascii="Times New Roman" w:hAnsi="Times New Roman"/>
          <w:sz w:val="20"/>
        </w:rPr>
      </w:pPr>
      <w:r>
        <w:rPr>
          <w:rFonts w:ascii="Times New Roman" w:hAnsi="Times New Roman"/>
          <w:sz w:val="20"/>
        </w:rPr>
        <w:t xml:space="preserve">The second type of change does not require any vote by the holders of the debt securities. This type is limited to clarifications, establishment of the form or terms of new securities of any series as permitted by the indenture and certain other changes that would not adversely affect holders of the outstanding debt securities in any material respect. We also do not need any approval to make any change that affects only debt securities to be issued under the indenture after the change takes effect.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Requiring Majority Approval </w:t>
      </w:r>
    </w:p>
    <w:p>
      <w:pPr>
        <w:pStyle w:val="TextBody"/>
        <w:bidi w:val="0"/>
        <w:spacing w:before="120" w:after="0"/>
        <w:jc w:val="left"/>
        <w:rPr>
          <w:rFonts w:ascii="Times New Roman" w:hAnsi="Times New Roman"/>
          <w:sz w:val="20"/>
        </w:rPr>
      </w:pPr>
      <w:r>
        <w:rPr>
          <w:rFonts w:ascii="Times New Roman" w:hAnsi="Times New Roman"/>
          <w:sz w:val="20"/>
        </w:rPr>
        <w:t xml:space="preserve">Any other change to the indenture and the debt securities would require the following approval: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change affects only one series of debt securities, it must be approved by the holders of a majority in principal amount of that series;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change affects more than one series of debt securities issued under the same indenture, it must be approved by the holders of a majority in principal amount of all of the series affected by the change, with all affected series voting together as one class for this purpose.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each case, the required approval must be given by written consent.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principal amount of a series of debt securities issued under the indenture, voting together as one class for this purpose, may waive our compliance with some of our covenants applicable to that series of debt securities. However, we cannot obtain a waiver of a payment default or of any of the matters covered by the bullet points included above under “— Changes Requiring Your Approval.” </w:t>
      </w:r>
    </w:p>
    <w:p>
      <w:pPr>
        <w:pStyle w:val="TextBody"/>
        <w:bidi w:val="0"/>
        <w:spacing w:before="360" w:after="0"/>
        <w:jc w:val="left"/>
        <w:rPr>
          <w:rFonts w:ascii="Times New Roman" w:hAnsi="Times New Roman"/>
          <w:b/>
          <w:sz w:val="20"/>
        </w:rPr>
      </w:pPr>
      <w:r>
        <w:rPr>
          <w:rFonts w:ascii="Times New Roman" w:hAnsi="Times New Roman"/>
          <w:b/>
          <w:sz w:val="20"/>
        </w:rPr>
        <w:t xml:space="preserve">Further Details Concerning Voting </w:t>
      </w:r>
    </w:p>
    <w:p>
      <w:pPr>
        <w:pStyle w:val="TextBody"/>
        <w:bidi w:val="0"/>
        <w:spacing w:before="120" w:after="0"/>
        <w:jc w:val="left"/>
        <w:rPr>
          <w:rFonts w:ascii="Times New Roman" w:hAnsi="Times New Roman"/>
          <w:sz w:val="20"/>
        </w:rPr>
      </w:pPr>
      <w:r>
        <w:rPr>
          <w:rFonts w:ascii="Times New Roman" w:hAnsi="Times New Roman"/>
          <w:sz w:val="20"/>
        </w:rPr>
        <w:t xml:space="preserve">When taking a vote, we will use the following rules to decide how much principal to attribute to a debt security: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original issue discount securities, we will use the principal amount that would be due and payable on the voting date if the maturity of these debt securities were accelerated to that date because of a default;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debt securities whose principal amount is not known (for example, because it is based on an index), we will use the principal face amount at original issuance or a special rule for that debt security described in the prospectus supplement; and </w:t>
            </w:r>
          </w:p>
        </w:tc>
      </w:tr>
    </w:tbl>
    <w:p>
      <w:pPr>
        <w:pStyle w:val="TextBody"/>
        <w:bidi w:val="0"/>
        <w:spacing w:before="0" w:after="0"/>
        <w:jc w:val="left"/>
        <w:rPr/>
      </w:pPr>
      <w:r>
        <w:rPr/>
        <w:t> </w:t>
      </w:r>
    </w:p>
    <w:tbl>
      <w:tblPr>
        <w:tblW w:w="8740" w:type="dxa"/>
        <w:jc w:val="left"/>
        <w:tblInd w:w="0" w:type="dxa"/>
        <w:tblLayout w:type="fixed"/>
        <w:tblCellMar>
          <w:top w:w="0" w:type="dxa"/>
          <w:left w:w="0" w:type="dxa"/>
          <w:bottom w:w="0" w:type="dxa"/>
          <w:right w:w="0" w:type="dxa"/>
        </w:tblCellMar>
      </w:tblPr>
      <w:tblGrid>
        <w:gridCol w:w="75"/>
        <w:gridCol w:w="110"/>
        <w:gridCol w:w="60"/>
        <w:gridCol w:w="84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debt securities denominated in one or more foreign currencies, we will use the U.S. dollar equivalent.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Debt securities will not be considered outstanding, and therefore not eligible to vote, if we have deposited or set aside in trust money for their payment or redemption or if we, any other obligor, or any affiliate of us or any obligor own such debt securities. Debt securities will also not be eligible to vote if they have been fully defeased as described later under “— Defeasance — Full Defeasance.” </w:t>
      </w:r>
    </w:p>
    <w:p>
      <w:pPr>
        <w:pStyle w:val="TextBody"/>
        <w:bidi w:val="0"/>
        <w:spacing w:before="240" w:after="0"/>
        <w:jc w:val="left"/>
        <w:rPr>
          <w:rFonts w:ascii="Times New Roman" w:hAnsi="Times New Roman"/>
          <w:sz w:val="20"/>
        </w:rPr>
      </w:pPr>
      <w:r>
        <w:rPr>
          <w:rFonts w:ascii="Times New Roman" w:hAnsi="Times New Roman"/>
          <w:sz w:val="20"/>
        </w:rPr>
        <w:t xml:space="preserve">We will generally be entitled to set any day as a record date for the purpose of determining the holders of outstanding indenture securities that are entitled to vote or take other action under the indenture. However, the record date may not be more than 30 days before the date of the first solicitation of holders to vote on or take such action.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 </w:t>
      </w:r>
    </w:p>
    <w:p>
      <w:pPr>
        <w:pStyle w:val="TextBody"/>
        <w:bidi w:val="0"/>
        <w:spacing w:before="240" w:after="0"/>
        <w:jc w:val="left"/>
        <w:rPr>
          <w:rFonts w:ascii="Times New Roman" w:hAnsi="Times New Roman"/>
          <w:b/>
          <w:sz w:val="20"/>
        </w:rPr>
      </w:pPr>
      <w:r>
        <w:rPr>
          <w:rFonts w:ascii="Times New Roman" w:hAnsi="Times New Roman"/>
          <w:b/>
          <w:sz w:val="20"/>
        </w:rPr>
        <w:t xml:space="preserve">Book-entry and other indirect holders should consult their banks or brokers for information on how approval may be granted or denied if we seek to change the indenture or the debt securities or request a waiver.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Defeasance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provisions will be applicable to each series of debt securities unless we state in the applicable prospectus supplement that the provisions of covenant defeasance and full defeasance will not be applicable to that series.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Covenant Defeasance </w:t>
      </w:r>
    </w:p>
    <w:p>
      <w:pPr>
        <w:pStyle w:val="TextBody"/>
        <w:bidi w:val="0"/>
        <w:spacing w:before="120" w:after="0"/>
        <w:jc w:val="left"/>
        <w:rPr>
          <w:rFonts w:ascii="Times New Roman" w:hAnsi="Times New Roman"/>
          <w:sz w:val="20"/>
        </w:rPr>
      </w:pPr>
      <w:r>
        <w:rPr>
          <w:rFonts w:ascii="Times New Roman" w:hAnsi="Times New Roman"/>
          <w:sz w:val="20"/>
        </w:rPr>
        <w:t xml:space="preserve">Under current U.S. federal tax law and the indenture,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we achieved covenant defeasance and your debt securities were subordinated as described under “— Indenture Provisions — Subordination” below, such subordination would not prevent the trustee under the indenture from applying the funds available to it from the deposit described in the first bullet below to the payment of amounts due in respect of such debt securities for the benefit of the subordinated debt holders. In order to achieve covenant defeasance, we must do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must deposit in trust for the benefit of all holders of a series of debt securities a combination of cash (in such currency in which such securities are then specified as payable at stated maturity) or government obligations applicable to such securities (determined on the basis of the currency in which such securities are then specified as payable at stated maturity) that will generate enough cash to make interest, principal and any other payments on the debt securities on their various due dates and any mandatory sinking fund payments or analogous payments;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to the trustee a legal opinion of our counsel confirming that, under current U.S. federal income tax law, we may make the above deposit without causing you to be taxed on the debt securities any differently than if we did not make the deposit;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defeasance must not result in a breach or violation of, or result in a default under, of the indenture or any of our other material agreements or instruments;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default or event of default with respect to such debt securities shall have occurred and be continuing and no defaults or events of default related to bankruptcy, insolvency or reorganization shall occur during the next 90 days; and </w:t>
            </w:r>
          </w:p>
        </w:tc>
      </w:tr>
    </w:tbl>
    <w:p>
      <w:pPr>
        <w:pStyle w:val="TextBody"/>
        <w:bidi w:val="0"/>
        <w:spacing w:before="0" w:after="0"/>
        <w:jc w:val="left"/>
        <w:rPr/>
      </w:pPr>
      <w:r>
        <w:rPr/>
        <w:t> </w:t>
      </w:r>
    </w:p>
    <w:tbl>
      <w:tblPr>
        <w:tblW w:w="7555" w:type="dxa"/>
        <w:jc w:val="left"/>
        <w:tblInd w:w="0" w:type="dxa"/>
        <w:tblLayout w:type="fixed"/>
        <w:tblCellMar>
          <w:top w:w="0" w:type="dxa"/>
          <w:left w:w="0" w:type="dxa"/>
          <w:bottom w:w="0" w:type="dxa"/>
          <w:right w:w="0" w:type="dxa"/>
        </w:tblCellMar>
      </w:tblPr>
      <w:tblGrid>
        <w:gridCol w:w="75"/>
        <w:gridCol w:w="110"/>
        <w:gridCol w:w="60"/>
        <w:gridCol w:w="73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satisfy the conditions for covenant defeasance contained in any supplemental indentures.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accomplish covenant defeasance, you can still look to us for repayment of the debt securities if there were a shortfall in the trust deposit or the trustee is prevented from making payment. For example, if one of the remaining Events of Default occurred (such as our bankruptcy) and the debt securities became immediately due and payable, there might be such a shortfall. However, there is no assurance that we would have sufficient funds to make payment of the shortfall.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Full Defeasance </w:t>
      </w:r>
    </w:p>
    <w:p>
      <w:pPr>
        <w:pStyle w:val="TextBody"/>
        <w:bidi w:val="0"/>
        <w:spacing w:before="120" w:after="0"/>
        <w:jc w:val="left"/>
        <w:rPr>
          <w:rFonts w:ascii="Times New Roman" w:hAnsi="Times New Roman"/>
          <w:sz w:val="20"/>
        </w:rPr>
      </w:pPr>
      <w:r>
        <w:rPr>
          <w:rFonts w:ascii="Times New Roman" w:hAnsi="Times New Roman"/>
          <w:sz w:val="20"/>
        </w:rPr>
        <w:t xml:space="preserve">If there is a change in U.S. federal tax law or we obtain an IRS ruling, as described in the second bullet below, we can legally release ourselves from all payment and other obligations on the debt securities of a particular series (called “full defeasance”) if we put in place the following other arrangements for you to be repaid: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must deposit in trust for the benefit of all holders of a series of debt securities a combination of cash (in such currency in which such securities are then specified as payable at stated maturity)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government obligations applicable to such securities (determined on the basis of the currency in which such securities are then specified as payable at stated maturity) that will generate enough cash to make interest, principal and any other payments on the debt securities on their various due dates and any mandatory sinking fund payments or analogous payments;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to the trustee a legal opinion confirming that there has been a change in current U.S. federal tax law or an IRS ruling that allows us to make the above deposit without causing you to be taxed on the debt securities any differently than if we did not make the deposit.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to the trustee a legal opinion of our counsel stating that the above deposit does not require registration by us under the 1940 Act, as amended, and a legal opinion and officers’ certificate stating that all conditions precedent to defeasance have been complied with;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defeasance must not result in a breach or violation of, or constitute a default under, of the indenture or any of our other material agreements or instruments;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default or event of default with respect to such debt securities shall have occurred and be continuing and no defaults or events of default related to bankruptcy, insolvency or reorganization shall occur during the next 90 days; and </w:t>
            </w:r>
          </w:p>
        </w:tc>
      </w:tr>
    </w:tbl>
    <w:p>
      <w:pPr>
        <w:pStyle w:val="TextBody"/>
        <w:bidi w:val="0"/>
        <w:spacing w:before="0" w:after="0"/>
        <w:jc w:val="left"/>
        <w:rPr/>
      </w:pPr>
      <w:r>
        <w:rPr/>
        <w:t> </w:t>
      </w:r>
    </w:p>
    <w:tbl>
      <w:tblPr>
        <w:tblW w:w="7090" w:type="dxa"/>
        <w:jc w:val="left"/>
        <w:tblInd w:w="0" w:type="dxa"/>
        <w:tblLayout w:type="fixed"/>
        <w:tblCellMar>
          <w:top w:w="0" w:type="dxa"/>
          <w:left w:w="0" w:type="dxa"/>
          <w:bottom w:w="0" w:type="dxa"/>
          <w:right w:w="0" w:type="dxa"/>
        </w:tblCellMar>
      </w:tblPr>
      <w:tblGrid>
        <w:gridCol w:w="75"/>
        <w:gridCol w:w="110"/>
        <w:gridCol w:w="60"/>
        <w:gridCol w:w="68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satisfy the conditions for full defeasance contained in any supplemental indentures.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your debt securities were subordinated as described later under “— Indenture Provisions — Subordination”, such subordination would not prevent the trustee under the indenture from applying the funds available to it from the deposit referred to in the first bullet of the preceding paragraph to the payment of amounts due in respect of such debt securities for the benefit of the subordinated debt holders. </w:t>
      </w:r>
    </w:p>
    <w:p>
      <w:pPr>
        <w:pStyle w:val="TextBody"/>
        <w:bidi w:val="0"/>
        <w:spacing w:before="360" w:after="0"/>
        <w:jc w:val="left"/>
        <w:rPr>
          <w:rFonts w:ascii="Times New Roman" w:hAnsi="Times New Roman"/>
          <w:b/>
          <w:sz w:val="20"/>
        </w:rPr>
      </w:pPr>
      <w:r>
        <w:rPr>
          <w:rFonts w:ascii="Times New Roman" w:hAnsi="Times New Roman"/>
          <w:b/>
          <w:sz w:val="20"/>
        </w:rPr>
        <w:t xml:space="preserve">Form, Exchange and Transfer of Certificated Registered Securities </w:t>
      </w:r>
    </w:p>
    <w:p>
      <w:pPr>
        <w:pStyle w:val="TextBody"/>
        <w:bidi w:val="0"/>
        <w:spacing w:before="120" w:after="0"/>
        <w:jc w:val="left"/>
        <w:rPr>
          <w:rFonts w:ascii="Times New Roman" w:hAnsi="Times New Roman"/>
          <w:sz w:val="20"/>
        </w:rPr>
      </w:pPr>
      <w:r>
        <w:rPr>
          <w:rFonts w:ascii="Times New Roman" w:hAnsi="Times New Roman"/>
          <w:sz w:val="20"/>
        </w:rPr>
        <w:t xml:space="preserve">If registered debt securities cease to be issued in book-entry form, they will be issued: </w:t>
      </w:r>
    </w:p>
    <w:p>
      <w:pPr>
        <w:pStyle w:val="TextBody"/>
        <w:bidi w:val="0"/>
        <w:spacing w:before="0" w:after="0"/>
        <w:jc w:val="left"/>
        <w:rPr/>
      </w:pPr>
      <w:r>
        <w:rPr/>
        <w:t> </w:t>
      </w:r>
    </w:p>
    <w:tbl>
      <w:tblPr>
        <w:tblW w:w="3625" w:type="dxa"/>
        <w:jc w:val="left"/>
        <w:tblInd w:w="0" w:type="dxa"/>
        <w:tblLayout w:type="fixed"/>
        <w:tblCellMar>
          <w:top w:w="0" w:type="dxa"/>
          <w:left w:w="0" w:type="dxa"/>
          <w:bottom w:w="0" w:type="dxa"/>
          <w:right w:w="0" w:type="dxa"/>
        </w:tblCellMar>
      </w:tblPr>
      <w:tblGrid>
        <w:gridCol w:w="75"/>
        <w:gridCol w:w="110"/>
        <w:gridCol w:w="60"/>
        <w:gridCol w:w="33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only in fully registered certificated form; </w:t>
            </w:r>
          </w:p>
        </w:tc>
      </w:tr>
    </w:tbl>
    <w:p>
      <w:pPr>
        <w:pStyle w:val="TextBody"/>
        <w:bidi w:val="0"/>
        <w:spacing w:before="0" w:after="0"/>
        <w:jc w:val="left"/>
        <w:rPr/>
      </w:pPr>
      <w:r>
        <w:rPr/>
        <w:t> </w:t>
      </w:r>
    </w:p>
    <w:tbl>
      <w:tblPr>
        <w:tblW w:w="2740" w:type="dxa"/>
        <w:jc w:val="left"/>
        <w:tblInd w:w="0" w:type="dxa"/>
        <w:tblLayout w:type="fixed"/>
        <w:tblCellMar>
          <w:top w:w="0" w:type="dxa"/>
          <w:left w:w="0" w:type="dxa"/>
          <w:bottom w:w="0" w:type="dxa"/>
          <w:right w:w="0" w:type="dxa"/>
        </w:tblCellMar>
      </w:tblPr>
      <w:tblGrid>
        <w:gridCol w:w="75"/>
        <w:gridCol w:w="110"/>
        <w:gridCol w:w="60"/>
        <w:gridCol w:w="24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without interest coupons;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unless we indicate otherwise in the prospectus supplement, in denominations of $1,000 and amounts that are multiples of $1,000.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Holders may exchange their certificated securities for debt securities of smaller denominations or combined into fewer debt securities of larger denominations, as long as the total principal amount is not changed and as long as the denomination is greater than the minimum denomination for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Holders may exchange or transfer their certificated securities at the office of the trustee. We have appointed the trustee to act as our agent for registering debt securities in the names of holders transferring debt securities. We may appoint another entity to perform these functions or perform them ourselves. </w:t>
      </w:r>
    </w:p>
    <w:p>
      <w:pPr>
        <w:pStyle w:val="TextBody"/>
        <w:bidi w:val="0"/>
        <w:spacing w:before="240" w:after="0"/>
        <w:jc w:val="left"/>
        <w:rPr>
          <w:rFonts w:ascii="Times New Roman" w:hAnsi="Times New Roman"/>
          <w:sz w:val="20"/>
        </w:rPr>
      </w:pPr>
      <w:r>
        <w:rPr>
          <w:rFonts w:ascii="Times New Roman" w:hAnsi="Times New Roman"/>
          <w:sz w:val="20"/>
        </w:rPr>
        <w:t xml:space="preserve">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 </w:t>
      </w:r>
    </w:p>
    <w:p>
      <w:pPr>
        <w:pStyle w:val="TextBody"/>
        <w:bidi w:val="0"/>
        <w:spacing w:before="240" w:after="0"/>
        <w:jc w:val="left"/>
        <w:rPr>
          <w:rFonts w:ascii="Times New Roman" w:hAnsi="Times New Roman"/>
          <w:sz w:val="20"/>
        </w:rPr>
      </w:pPr>
      <w:r>
        <w:rPr>
          <w:rFonts w:ascii="Times New Roman" w:hAnsi="Times New Roman"/>
          <w:sz w:val="20"/>
        </w:rPr>
        <w:t xml:space="preserve">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 </w:t>
      </w:r>
    </w:p>
    <w:p>
      <w:pPr>
        <w:pStyle w:val="TextBody"/>
        <w:bidi w:val="0"/>
        <w:spacing w:before="240" w:after="0"/>
        <w:jc w:val="left"/>
        <w:rPr>
          <w:rFonts w:ascii="Times New Roman" w:hAnsi="Times New Roman"/>
          <w:sz w:val="20"/>
        </w:rPr>
      </w:pPr>
      <w:r>
        <w:rPr>
          <w:rFonts w:ascii="Times New Roman" w:hAnsi="Times New Roman"/>
          <w:sz w:val="20"/>
        </w:rPr>
        <w:t xml:space="preserve">If a registered debt security is issued in book-entry form, only the depositary will be entitled to transfer and exchange the debt security as described in this subsection, since it will be the sole holder of the debt security. </w:t>
      </w:r>
    </w:p>
    <w:p>
      <w:pPr>
        <w:pStyle w:val="TextBody"/>
        <w:bidi w:val="0"/>
        <w:spacing w:before="360" w:after="0"/>
        <w:jc w:val="left"/>
        <w:rPr>
          <w:rFonts w:ascii="Times New Roman" w:hAnsi="Times New Roman"/>
          <w:b/>
          <w:sz w:val="20"/>
        </w:rPr>
      </w:pPr>
      <w:r>
        <w:rPr>
          <w:rFonts w:ascii="Times New Roman" w:hAnsi="Times New Roman"/>
          <w:b/>
          <w:sz w:val="20"/>
        </w:rPr>
        <w:t xml:space="preserve">Resignation of Trustee </w:t>
      </w:r>
    </w:p>
    <w:p>
      <w:pPr>
        <w:pStyle w:val="TextBody"/>
        <w:bidi w:val="0"/>
        <w:spacing w:before="120" w:after="0"/>
        <w:jc w:val="left"/>
        <w:rPr>
          <w:rFonts w:ascii="Times New Roman" w:hAnsi="Times New Roman"/>
          <w:sz w:val="20"/>
        </w:rPr>
      </w:pPr>
      <w:r>
        <w:rPr>
          <w:rFonts w:ascii="Times New Roman" w:hAnsi="Times New Roman"/>
          <w:sz w:val="20"/>
        </w:rPr>
        <w:t xml:space="preserve">Each trustee may resign or be removed with respect to one or more series of indenture securities provided that a successor trustee is appointed to act with respect to these series and has accepted such appointment. In the event that two or more persons are acting as trustee with respect to different series of indenture securities under the indenture, each of the trustees will be a trustee of a trust separate and apart from the trust administered by any other trustee. </w:t>
      </w:r>
    </w:p>
    <w:p>
      <w:pPr>
        <w:pStyle w:val="TextBody"/>
        <w:bidi w:val="0"/>
        <w:spacing w:before="360" w:after="0"/>
        <w:jc w:val="left"/>
        <w:rPr>
          <w:rFonts w:ascii="Times New Roman" w:hAnsi="Times New Roman"/>
          <w:b/>
          <w:sz w:val="20"/>
        </w:rPr>
      </w:pPr>
      <w:r>
        <w:rPr>
          <w:rFonts w:ascii="Times New Roman" w:hAnsi="Times New Roman"/>
          <w:b/>
          <w:sz w:val="20"/>
        </w:rPr>
        <w:t xml:space="preserve">Indenture Provisions — Subordination </w:t>
      </w:r>
    </w:p>
    <w:p>
      <w:pPr>
        <w:pStyle w:val="TextBody"/>
        <w:bidi w:val="0"/>
        <w:spacing w:before="120" w:after="0"/>
        <w:jc w:val="left"/>
        <w:rPr>
          <w:rFonts w:ascii="Times New Roman" w:hAnsi="Times New Roman"/>
          <w:sz w:val="20"/>
        </w:rPr>
      </w:pPr>
      <w:r>
        <w:rPr>
          <w:rFonts w:ascii="Times New Roman" w:hAnsi="Times New Roman"/>
          <w:sz w:val="20"/>
        </w:rPr>
        <w:t xml:space="preserve">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(as defined below),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notwithstanding the foregoing, any payment by us is received by the trustee in respect of subordinated debt securities or by the holders of any of such subordinated debt securities, upon our dissolution, winding up, liquidation or reorganization before all Senior Indebtedness is paid in full, the payment or distribution received by the trustee in respect of such subordinated debt securities or by the holders of any of such subordinated debt securities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By reason of this subordination, in the event of a distribution of our assets upon our insolvency, certain of our senior creditors may recover more, ratably, than holders of any subordinated debt securities or the holders of any indenture securities that are not Senior Indebtedness. The indenture provides that these subordination provisions will not apply to money and securities held in trust under the defeasance provisions of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Senior Indebtedness is defined in the indenture as the principal of (and premium, if any) and unpaid interest 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indebtedness (including indebtedness of others guaranteed by us), whenever created, incurred, assumed or guaranteed, for money borrowed, that we have designated as “Senior Indebtedness” for purposes of the indenture and in accordance with the terms of the indenture (including any indenture securities designated as Senior Indebtedness), and </w:t>
            </w:r>
          </w:p>
        </w:tc>
      </w:tr>
    </w:tbl>
    <w:p>
      <w:pPr>
        <w:pStyle w:val="TextBody"/>
        <w:bidi w:val="0"/>
        <w:spacing w:before="0" w:after="0"/>
        <w:jc w:val="left"/>
        <w:rPr/>
      </w:pPr>
      <w:r>
        <w:rPr/>
        <w:t> </w:t>
      </w:r>
    </w:p>
    <w:tbl>
      <w:tblPr>
        <w:tblW w:w="6865" w:type="dxa"/>
        <w:jc w:val="left"/>
        <w:tblInd w:w="0" w:type="dxa"/>
        <w:tblLayout w:type="fixed"/>
        <w:tblCellMar>
          <w:top w:w="0" w:type="dxa"/>
          <w:left w:w="0" w:type="dxa"/>
          <w:bottom w:w="0" w:type="dxa"/>
          <w:right w:w="0" w:type="dxa"/>
        </w:tblCellMar>
      </w:tblPr>
      <w:tblGrid>
        <w:gridCol w:w="75"/>
        <w:gridCol w:w="110"/>
        <w:gridCol w:w="60"/>
        <w:gridCol w:w="66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renewals, extensions, modifications and refinancings of any of this indebtedness.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this prospectus is being delivered in connection with the offering of a series of indenture securities denominated as subordinated debt securities, the accompanying prospectus supplement will set forth the approximate amount of our Senior Indebtedness and of our other Indebtedness outstanding as of a recent date. </w:t>
      </w:r>
    </w:p>
    <w:p>
      <w:pPr>
        <w:pStyle w:val="TextBody"/>
        <w:bidi w:val="0"/>
        <w:spacing w:before="360" w:after="0"/>
        <w:jc w:val="left"/>
        <w:rPr>
          <w:rFonts w:ascii="Times New Roman" w:hAnsi="Times New Roman"/>
          <w:b/>
          <w:sz w:val="20"/>
        </w:rPr>
      </w:pPr>
      <w:r>
        <w:rPr>
          <w:rFonts w:ascii="Times New Roman" w:hAnsi="Times New Roman"/>
          <w:b/>
          <w:sz w:val="20"/>
        </w:rPr>
        <w:t xml:space="preserve">Secured Indebtedness and Ranking </w:t>
      </w:r>
    </w:p>
    <w:p>
      <w:pPr>
        <w:pStyle w:val="TextBody"/>
        <w:bidi w:val="0"/>
        <w:spacing w:before="120" w:after="0"/>
        <w:jc w:val="left"/>
        <w:rPr>
          <w:rFonts w:ascii="Times New Roman" w:hAnsi="Times New Roman"/>
          <w:sz w:val="20"/>
        </w:rPr>
      </w:pPr>
      <w:r>
        <w:rPr>
          <w:rFonts w:ascii="Times New Roman" w:hAnsi="Times New Roman"/>
          <w:sz w:val="20"/>
        </w:rPr>
        <w:t xml:space="preserve">Certain of our indebtedness, including certain series of indenture securities, may be secured. The prospectus supplement for each series of indenture securities will describe the terms of any security interest for such series and will indicate the approximate amount of our secured indebtedness as of a recent date. Any unsecured indenture securities will effectively rank junior to any secured indebtedness, including any secured indenture securities, that we incur in the future to the extent of the value of the assets securing such future secured indebtedness. The debt securities, whether secured or unsecured, of the Company will rank structurally junior to all existing and future indebtedness (including trade payables) incurred by our subsidiaries, financing vehicles, or similar facilities.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our bankruptcy, liquidation, reorganization or other winding up, any of our assets that secure secured debt will be available to pay obligations on unsecured debt securities only after all indebtedness under such secured debt has been repaid in full from such assets. We advise you that there may not be sufficient assets remaining to pay amounts due on any or all unsecured debt securities then outstanding after fulfillment of this obligation. As a result, the holders of unsecured indenture securities may recover less, ratably, than holders of any of our secured indebtedness. </w:t>
      </w:r>
    </w:p>
    <w:p>
      <w:pPr>
        <w:pStyle w:val="TextBody"/>
        <w:bidi w:val="0"/>
        <w:spacing w:before="360" w:after="0"/>
        <w:jc w:val="left"/>
        <w:rPr>
          <w:rFonts w:ascii="Times New Roman" w:hAnsi="Times New Roman"/>
          <w:b/>
          <w:sz w:val="20"/>
        </w:rPr>
      </w:pPr>
      <w:r>
        <w:rPr>
          <w:rFonts w:ascii="Times New Roman" w:hAnsi="Times New Roman"/>
          <w:b/>
          <w:sz w:val="20"/>
        </w:rPr>
        <w:t xml:space="preserve">The Trustee under the Indenture </w:t>
      </w:r>
    </w:p>
    <w:p>
      <w:pPr>
        <w:pStyle w:val="TextBody"/>
        <w:bidi w:val="0"/>
        <w:spacing w:before="120" w:after="0"/>
        <w:jc w:val="left"/>
        <w:rPr>
          <w:rFonts w:ascii="Times New Roman" w:hAnsi="Times New Roman"/>
          <w:sz w:val="20"/>
        </w:rPr>
      </w:pPr>
      <w:r>
        <w:rPr>
          <w:rFonts w:ascii="Times New Roman" w:hAnsi="Times New Roman"/>
          <w:sz w:val="20"/>
        </w:rPr>
        <w:t xml:space="preserve">We intend to use a nationally recognized financial institution to serve as the trustee under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Certain Considerations Relating to Foreign Currencies </w:t>
      </w:r>
    </w:p>
    <w:p>
      <w:pPr>
        <w:pStyle w:val="TextBody"/>
        <w:bidi w:val="0"/>
        <w:spacing w:before="120" w:after="0"/>
        <w:jc w:val="left"/>
        <w:rPr>
          <w:rFonts w:ascii="Times New Roman" w:hAnsi="Times New Roman"/>
          <w:sz w:val="20"/>
        </w:rPr>
      </w:pPr>
      <w:r>
        <w:rPr>
          <w:rFonts w:ascii="Times New Roman" w:hAnsi="Times New Roman"/>
          <w:sz w:val="20"/>
        </w:rPr>
        <w:t xml:space="preserve">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26" w:name="toc29698_25"/>
      <w:bookmarkEnd w:id="26"/>
      <w:r>
        <w:rPr>
          <w:rFonts w:ascii="Times New Roman" w:hAnsi="Times New Roman"/>
          <w:b/>
          <w:sz w:val="20"/>
        </w:rPr>
        <w:t xml:space="preserve">DESCRIPTION OF OUR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general description of the terms of the warrants we may issue from time to time. Particular terms of any warrants we offer will be described in the prospectus supplement relating to such 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 </w:t>
      </w:r>
    </w:p>
    <w:p>
      <w:pPr>
        <w:pStyle w:val="TextBody"/>
        <w:bidi w:val="0"/>
        <w:spacing w:before="240" w:after="0"/>
        <w:jc w:val="left"/>
        <w:rPr>
          <w:rFonts w:ascii="Times New Roman" w:hAnsi="Times New Roman"/>
          <w:sz w:val="20"/>
        </w:rPr>
      </w:pPr>
      <w:r>
        <w:rPr>
          <w:rFonts w:ascii="Times New Roman" w:hAnsi="Times New Roman"/>
          <w:sz w:val="20"/>
        </w:rPr>
        <w:t xml:space="preserve">A prospectus supplement will describe the particular terms of any series of warrants we may issue, including the following: </w:t>
      </w:r>
    </w:p>
    <w:p>
      <w:pPr>
        <w:pStyle w:val="TextBody"/>
        <w:bidi w:val="0"/>
        <w:spacing w:before="0" w:after="0"/>
        <w:jc w:val="left"/>
        <w:rPr/>
      </w:pPr>
      <w:r>
        <w:rPr/>
        <w:t> </w:t>
      </w:r>
    </w:p>
    <w:tbl>
      <w:tblPr>
        <w:tblW w:w="2365" w:type="dxa"/>
        <w:jc w:val="left"/>
        <w:tblInd w:w="0" w:type="dxa"/>
        <w:tblLayout w:type="fixed"/>
        <w:tblCellMar>
          <w:top w:w="0" w:type="dxa"/>
          <w:left w:w="0" w:type="dxa"/>
          <w:bottom w:w="0" w:type="dxa"/>
          <w:right w:w="0" w:type="dxa"/>
        </w:tblCellMar>
      </w:tblPr>
      <w:tblGrid>
        <w:gridCol w:w="75"/>
        <w:gridCol w:w="110"/>
        <w:gridCol w:w="60"/>
        <w:gridCol w:w="21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title of such warrants; </w:t>
            </w:r>
          </w:p>
        </w:tc>
      </w:tr>
    </w:tbl>
    <w:p>
      <w:pPr>
        <w:pStyle w:val="TextBody"/>
        <w:bidi w:val="0"/>
        <w:spacing w:before="0" w:after="0"/>
        <w:jc w:val="left"/>
        <w:rPr/>
      </w:pPr>
      <w:r>
        <w:rPr/>
        <w:t> </w:t>
      </w:r>
    </w:p>
    <w:tbl>
      <w:tblPr>
        <w:tblW w:w="3490" w:type="dxa"/>
        <w:jc w:val="left"/>
        <w:tblInd w:w="0" w:type="dxa"/>
        <w:tblLayout w:type="fixed"/>
        <w:tblCellMar>
          <w:top w:w="0" w:type="dxa"/>
          <w:left w:w="0" w:type="dxa"/>
          <w:bottom w:w="0" w:type="dxa"/>
          <w:right w:w="0" w:type="dxa"/>
        </w:tblCellMar>
      </w:tblPr>
      <w:tblGrid>
        <w:gridCol w:w="75"/>
        <w:gridCol w:w="110"/>
        <w:gridCol w:w="60"/>
        <w:gridCol w:w="32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of such warrants; </w:t>
            </w:r>
          </w:p>
        </w:tc>
      </w:tr>
    </w:tbl>
    <w:p>
      <w:pPr>
        <w:pStyle w:val="TextBody"/>
        <w:bidi w:val="0"/>
        <w:spacing w:before="0" w:after="0"/>
        <w:jc w:val="left"/>
        <w:rPr/>
      </w:pPr>
      <w:r>
        <w:rPr/>
        <w:t> </w:t>
      </w:r>
    </w:p>
    <w:tbl>
      <w:tblPr>
        <w:tblW w:w="4855" w:type="dxa"/>
        <w:jc w:val="left"/>
        <w:tblInd w:w="0" w:type="dxa"/>
        <w:tblLayout w:type="fixed"/>
        <w:tblCellMar>
          <w:top w:w="0" w:type="dxa"/>
          <w:left w:w="0" w:type="dxa"/>
          <w:bottom w:w="0" w:type="dxa"/>
          <w:right w:w="0" w:type="dxa"/>
        </w:tblCellMar>
      </w:tblPr>
      <w:tblGrid>
        <w:gridCol w:w="75"/>
        <w:gridCol w:w="110"/>
        <w:gridCol w:w="60"/>
        <w:gridCol w:w="46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such warrants will be issued; </w:t>
            </w:r>
          </w:p>
        </w:tc>
      </w:tr>
    </w:tbl>
    <w:p>
      <w:pPr>
        <w:pStyle w:val="TextBody"/>
        <w:bidi w:val="0"/>
        <w:spacing w:before="0" w:after="0"/>
        <w:jc w:val="left"/>
        <w:rPr/>
      </w:pPr>
      <w:r>
        <w:rPr/>
        <w:t> </w:t>
      </w:r>
    </w:p>
    <w:tbl>
      <w:tblPr>
        <w:tblW w:w="9325" w:type="dxa"/>
        <w:jc w:val="left"/>
        <w:tblInd w:w="0" w:type="dxa"/>
        <w:tblLayout w:type="fixed"/>
        <w:tblCellMar>
          <w:top w:w="0" w:type="dxa"/>
          <w:left w:w="0" w:type="dxa"/>
          <w:bottom w:w="0" w:type="dxa"/>
          <w:right w:w="0" w:type="dxa"/>
        </w:tblCellMar>
      </w:tblPr>
      <w:tblGrid>
        <w:gridCol w:w="75"/>
        <w:gridCol w:w="110"/>
        <w:gridCol w:w="60"/>
        <w:gridCol w:w="90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currencies, including composite currencies, in which the price of such warrants may be payable;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designation and terms of the securities with which the warrants are issued and the number of warrants issued with each such security or each principal amount of such security;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 </w:t>
            </w:r>
          </w:p>
        </w:tc>
      </w:tr>
    </w:tbl>
    <w:p>
      <w:pPr>
        <w:pStyle w:val="TextBody"/>
        <w:bidi w:val="0"/>
        <w:spacing w:before="0" w:after="0"/>
        <w:jc w:val="left"/>
        <w:rPr/>
      </w:pPr>
      <w:r>
        <w:rPr/>
        <w:t> </w:t>
      </w:r>
    </w:p>
    <w:tbl>
      <w:tblPr>
        <w:tblW w:w="9565" w:type="dxa"/>
        <w:jc w:val="left"/>
        <w:tblInd w:w="0" w:type="dxa"/>
        <w:tblLayout w:type="fixed"/>
        <w:tblCellMar>
          <w:top w:w="0" w:type="dxa"/>
          <w:left w:w="0" w:type="dxa"/>
          <w:bottom w:w="0" w:type="dxa"/>
          <w:right w:w="0" w:type="dxa"/>
        </w:tblCellMar>
      </w:tblPr>
      <w:tblGrid>
        <w:gridCol w:w="75"/>
        <w:gridCol w:w="110"/>
        <w:gridCol w:w="60"/>
        <w:gridCol w:w="93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such warrants shall commence and the date on which such right will expire; </w:t>
            </w:r>
          </w:p>
        </w:tc>
      </w:tr>
    </w:tbl>
    <w:p>
      <w:pPr>
        <w:pStyle w:val="TextBody"/>
        <w:bidi w:val="0"/>
        <w:spacing w:before="0" w:after="0"/>
        <w:jc w:val="left"/>
        <w:rPr/>
      </w:pPr>
      <w:r>
        <w:rPr/>
        <w:t> </w:t>
      </w:r>
    </w:p>
    <w:tbl>
      <w:tblPr>
        <w:tblW w:w="5965" w:type="dxa"/>
        <w:jc w:val="left"/>
        <w:tblInd w:w="0" w:type="dxa"/>
        <w:tblLayout w:type="fixed"/>
        <w:tblCellMar>
          <w:top w:w="0" w:type="dxa"/>
          <w:left w:w="0" w:type="dxa"/>
          <w:bottom w:w="0" w:type="dxa"/>
          <w:right w:w="0" w:type="dxa"/>
        </w:tblCellMar>
      </w:tblPr>
      <w:tblGrid>
        <w:gridCol w:w="75"/>
        <w:gridCol w:w="110"/>
        <w:gridCol w:w="60"/>
        <w:gridCol w:w="57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such warrants will be issued in registered form or bearer form; </w:t>
            </w:r>
          </w:p>
        </w:tc>
      </w:tr>
    </w:tbl>
    <w:p>
      <w:pPr>
        <w:pStyle w:val="TextBody"/>
        <w:bidi w:val="0"/>
        <w:spacing w:before="0" w:after="0"/>
        <w:jc w:val="left"/>
        <w:rPr/>
      </w:pPr>
      <w:r>
        <w:rPr/>
        <w:t> </w:t>
      </w:r>
    </w:p>
    <w:tbl>
      <w:tblPr>
        <w:tblW w:w="8920" w:type="dxa"/>
        <w:jc w:val="left"/>
        <w:tblInd w:w="0" w:type="dxa"/>
        <w:tblLayout w:type="fixed"/>
        <w:tblCellMar>
          <w:top w:w="0" w:type="dxa"/>
          <w:left w:w="0" w:type="dxa"/>
          <w:bottom w:w="0" w:type="dxa"/>
          <w:right w:w="0" w:type="dxa"/>
        </w:tblCellMar>
      </w:tblPr>
      <w:tblGrid>
        <w:gridCol w:w="75"/>
        <w:gridCol w:w="110"/>
        <w:gridCol w:w="60"/>
        <w:gridCol w:w="86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minimum or maximum amount of such warrants which may be exercised at any one time; </w:t>
            </w:r>
          </w:p>
        </w:tc>
      </w:tr>
    </w:tbl>
    <w:p>
      <w:pPr>
        <w:pStyle w:val="TextBody"/>
        <w:bidi w:val="0"/>
        <w:spacing w:before="0" w:after="0"/>
        <w:jc w:val="left"/>
        <w:rPr/>
      </w:pPr>
      <w:r>
        <w:rPr/>
        <w:t> </w:t>
      </w:r>
    </w:p>
    <w:tbl>
      <w:tblPr>
        <w:tblW w:w="9340" w:type="dxa"/>
        <w:jc w:val="left"/>
        <w:tblInd w:w="0" w:type="dxa"/>
        <w:tblLayout w:type="fixed"/>
        <w:tblCellMar>
          <w:top w:w="0" w:type="dxa"/>
          <w:left w:w="0" w:type="dxa"/>
          <w:bottom w:w="0" w:type="dxa"/>
          <w:right w:w="0" w:type="dxa"/>
        </w:tblCellMar>
      </w:tblPr>
      <w:tblGrid>
        <w:gridCol w:w="75"/>
        <w:gridCol w:w="110"/>
        <w:gridCol w:w="60"/>
        <w:gridCol w:w="90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on and after which such warrants and the related securities will be separately transferable; </w:t>
            </w:r>
          </w:p>
        </w:tc>
      </w:tr>
    </w:tbl>
    <w:p>
      <w:pPr>
        <w:pStyle w:val="TextBody"/>
        <w:bidi w:val="0"/>
        <w:spacing w:before="0" w:after="0"/>
        <w:jc w:val="left"/>
        <w:rPr/>
      </w:pPr>
      <w:r>
        <w:rPr/>
        <w:t> </w:t>
      </w:r>
    </w:p>
    <w:tbl>
      <w:tblPr>
        <w:tblW w:w="5005" w:type="dxa"/>
        <w:jc w:val="left"/>
        <w:tblInd w:w="0" w:type="dxa"/>
        <w:tblLayout w:type="fixed"/>
        <w:tblCellMar>
          <w:top w:w="0" w:type="dxa"/>
          <w:left w:w="0" w:type="dxa"/>
          <w:bottom w:w="0" w:type="dxa"/>
          <w:right w:w="0" w:type="dxa"/>
        </w:tblCellMar>
      </w:tblPr>
      <w:tblGrid>
        <w:gridCol w:w="75"/>
        <w:gridCol w:w="110"/>
        <w:gridCol w:w="60"/>
        <w:gridCol w:w="47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information with respect to book-entry procedures, if any; </w:t>
            </w:r>
          </w:p>
        </w:tc>
      </w:tr>
    </w:tbl>
    <w:p>
      <w:pPr>
        <w:pStyle w:val="TextBody"/>
        <w:bidi w:val="0"/>
        <w:spacing w:before="0" w:after="0"/>
        <w:jc w:val="left"/>
        <w:rPr/>
      </w:pPr>
      <w:r>
        <w:rPr/>
        <w:t> </w:t>
      </w:r>
    </w:p>
    <w:tbl>
      <w:tblPr>
        <w:tblW w:w="5545" w:type="dxa"/>
        <w:jc w:val="left"/>
        <w:tblInd w:w="0" w:type="dxa"/>
        <w:tblLayout w:type="fixed"/>
        <w:tblCellMar>
          <w:top w:w="0" w:type="dxa"/>
          <w:left w:w="0" w:type="dxa"/>
          <w:bottom w:w="0" w:type="dxa"/>
          <w:right w:w="0" w:type="dxa"/>
        </w:tblCellMar>
      </w:tblPr>
      <w:tblGrid>
        <w:gridCol w:w="75"/>
        <w:gridCol w:w="110"/>
        <w:gridCol w:w="60"/>
        <w:gridCol w:w="53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securities issuable upon exercise of the warrants; </w:t>
            </w:r>
          </w:p>
        </w:tc>
      </w:tr>
    </w:tbl>
    <w:p>
      <w:pPr>
        <w:pStyle w:val="TextBody"/>
        <w:bidi w:val="0"/>
        <w:spacing w:before="0" w:after="0"/>
        <w:jc w:val="left"/>
        <w:rPr/>
      </w:pPr>
      <w:r>
        <w:rPr/>
        <w:t> </w:t>
      </w:r>
    </w:p>
    <w:tbl>
      <w:tblPr>
        <w:tblW w:w="6790" w:type="dxa"/>
        <w:jc w:val="left"/>
        <w:tblInd w:w="0" w:type="dxa"/>
        <w:tblLayout w:type="fixed"/>
        <w:tblCellMar>
          <w:top w:w="0" w:type="dxa"/>
          <w:left w:w="0" w:type="dxa"/>
          <w:bottom w:w="0" w:type="dxa"/>
          <w:right w:w="0" w:type="dxa"/>
        </w:tblCellMar>
      </w:tblPr>
      <w:tblGrid>
        <w:gridCol w:w="75"/>
        <w:gridCol w:w="110"/>
        <w:gridCol w:w="60"/>
        <w:gridCol w:w="65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applicable, a discussion of certain U.S. federal income tax considerations;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such warrants, including terms, procedures and limitations relating to the exchange and exercise of such warrants.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distributions, if any, or payments upon our liquidation, dissolution or winding up or to exercise any voting rights. </w:t>
      </w:r>
    </w:p>
    <w:p>
      <w:pPr>
        <w:pStyle w:val="TextBody"/>
        <w:bidi w:val="0"/>
        <w:spacing w:before="240" w:after="0"/>
        <w:jc w:val="left"/>
        <w:rPr>
          <w:rFonts w:ascii="Times New Roman" w:hAnsi="Times New Roman"/>
          <w:sz w:val="20"/>
        </w:rPr>
      </w:pPr>
      <w:r>
        <w:rPr>
          <w:rFonts w:ascii="Times New Roman" w:hAnsi="Times New Roman"/>
          <w:sz w:val="20"/>
        </w:rPr>
        <w:t xml:space="preserve">Under the 1940 Act, we may generally only offer warrants provided that (1) the warrants expire by their terms within ten years; (2) the exercise or conversion price is not less than the current market value at the date of issuance; (3) our stockholders authorize the proposal to issue such warrants, and our board of directors approves such issuance on the basis that the issuance is in our best interests and our stockholders; and (4)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25.0% of our outstanding voting securities. Our stockholders voted to allow us to issue warrants at our 2012 Annual Meeting of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27" w:name="toc29698_26"/>
      <w:bookmarkEnd w:id="27"/>
      <w:r>
        <w:rPr>
          <w:rFonts w:ascii="Times New Roman" w:hAnsi="Times New Roman"/>
          <w:b/>
          <w:sz w:val="20"/>
        </w:rPr>
        <w:t xml:space="preserve">REGULATION </w:t>
      </w:r>
    </w:p>
    <w:p>
      <w:pPr>
        <w:pStyle w:val="TextBody"/>
        <w:bidi w:val="0"/>
        <w:spacing w:before="240" w:after="0"/>
        <w:jc w:val="left"/>
        <w:rPr/>
      </w:pPr>
      <w:r>
        <w:rPr>
          <w:rFonts w:ascii="Times New Roman" w:hAnsi="Times New Roman"/>
          <w:sz w:val="20"/>
        </w:rPr>
        <w:t xml:space="preserve">The information in the section entitled “Business — Regulation” in Part I, Item 1 of our most recent </w:t>
      </w:r>
      <w:hyperlink r:id="rId29">
        <w:r>
          <w:rPr>
            <w:rStyle w:val="InternetLink"/>
            <w:rFonts w:ascii="Times New Roman" w:hAnsi="Times New Roman"/>
            <w:sz w:val="20"/>
          </w:rPr>
          <w:t>Annual Report on Form 10-K</w:t>
        </w:r>
      </w:hyperlink>
      <w:r>
        <w:rPr>
          <w:rFonts w:ascii="Times New Roman" w:hAnsi="Times New Roman"/>
          <w:sz w:val="20"/>
        </w:rPr>
        <w:t xml:space="preserve"> is incorporated herein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28" w:name="toc29698_27"/>
      <w:bookmarkEnd w:id="28"/>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offer, from time to time, in one or more offerings or series, together or separately, up to $600,000,000 of common stock, preferred stock, subscription rights to purchase shares of common stock, warrants and debt securities, in one or more underwritten public offerings, at-the-market offerings to or through a market maker or into an existing trading market for our securities, on an exchange or otherwise, negotiated transactions, block trades, best efforts or a combination of these methods. The holders of our common stock will indirectly bear any fees and expenses in connection with any such offering. </w:t>
      </w:r>
    </w:p>
    <w:p>
      <w:pPr>
        <w:pStyle w:val="TextBody"/>
        <w:bidi w:val="0"/>
        <w:spacing w:before="240" w:after="0"/>
        <w:jc w:val="left"/>
        <w:rPr>
          <w:rFonts w:ascii="Times New Roman" w:hAnsi="Times New Roman"/>
          <w:sz w:val="20"/>
        </w:rPr>
      </w:pPr>
      <w:r>
        <w:rPr>
          <w:rFonts w:ascii="Times New Roman" w:hAnsi="Times New Roman"/>
          <w:sz w:val="20"/>
        </w:rPr>
        <w:t xml:space="preserve">We may sell our securities through underwriters or dealers, directly to one or more purchasers, through agents or through a combination of any such methods of sale. In the case of a rights offering, the applicable prospectus supplement will set forth the number of shares of our common stock issuable upon the exercise of each right and the other terms of such rights offering. Any underwriter or agent involved in the offer and sale of our securities will be named in the applicable prospectus supplement. A prospectus supplement or supplements will also describe the terms of the offering of our securities, including: the purchase price and the proceeds we will receive from the sale; any over-allotment options under which underwriters may purchase additional securities from us; any agency fees or underwriting discounts and other items constituting agents’ or underwriters’ compensation; the public offering price; any discounts or concessions allowed or re-allowed or paid to dealers; and any securities exchange or market on which our securities may be listed. Only underwriters or agents named in the prospectus supplement will be underwriters or agents of securities offered by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distribution of the securities may be effected from time to time in one or more transactions at a fixed price or prices, which may be changed, at prevailing market prices at the time of sale, at prices related to such prevailing market prices, or at negotiated prices; provided, however, that the offering price per share of our common stock, less any underwriting commissions or discounts, must equal or exceed the net asset value per share of our common stock at the time of the offering except (i) in connection with a rights offering to our existing stockholders, (ii) with the prior approval of the majority of our common stockholders, or (iii) under such other circumstances as the SEC may permit. Any offering of securities by us that requires the consent of the majority of our common stockholders, must occur, if at all, within one year after receiving such consent. The price at which our securities may be distributed may represent a discount from prevailing market prices. As an investor in our securities, you will indirectly bear the expenses incurred in connection with all of the distribution activities described herein. </w:t>
      </w:r>
    </w:p>
    <w:p>
      <w:pPr>
        <w:pStyle w:val="TextBody"/>
        <w:bidi w:val="0"/>
        <w:spacing w:before="240" w:after="0"/>
        <w:jc w:val="left"/>
        <w:rPr>
          <w:rFonts w:ascii="Times New Roman" w:hAnsi="Times New Roman"/>
          <w:sz w:val="20"/>
        </w:rPr>
      </w:pPr>
      <w:r>
        <w:rPr>
          <w:rFonts w:ascii="Times New Roman" w:hAnsi="Times New Roman"/>
          <w:sz w:val="20"/>
        </w:rPr>
        <w:t xml:space="preserve">On June 8, 2023, our common stockholders voted to allow us to issue common stock at a price below net asset value per share for a period of one year ending on the earlier of June 8, 2024 or the date of our 2024 Annual Meeting of Stockholders. Our stockholders are being asked to consider and approve a similar proposal at our 2024 Annual Meeting of Stockholders. The maximum number of shares issuable below net asset value pursuant to the authority granted by our stockholders that could result in such dilution is limited to 25.0% of the Company’s then outstanding common stock immediately prior to each such sale. We do not intend to issue shares of our common stock below net asset value unless our board of directors determines that it would be in our stockholders’ best interests to do so.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 of our securities, underwriters or agents may receive compensation from us or from purchasers of our securities, for whom they may act as agents, in the form of discounts, concessions or commissions. Underwriters may sell our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our securities may be deemed to be underwriters under the Securities Act, and any discounts and commissions they receive from us and any profit realized by them on the resale of our securities may be deemed to be underwriting discounts and commissions under the Securities Act. Any such underwriter or agent will be identified and any such compensation received from us will be described in the applicable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supplement. The maximum aggregate commission or discount to be received by any member of FINRA or independent broker-dealer will not be greater than 10% of the gross proceeds of the sale of our securities offered pursuant to this prospectus and any applicable prospectus supplement. We may also reimburse the underwriter or agent for certain fees and legal expenses incurred by it.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our securities, either through exercise of the option to purchase additional shares from us or in the open market after the distribution is completed, to cover short positions. Penalty bids permit the underwriters to reclaim a selling concession from a dealer when our securities originally sold by the dealer are purchased in a stabilizing or covering transaction to cover short positions. Those activities may cause the price of our securities to be higher than it would otherwise be. If commenced, the underwriters may discontinue any of the activities at any time.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underwriters that are qualified market makers on the Nasdaq Global Select Market may engage in passive market making transactions in our common stock on the Nasdaq Global Select Market in accordance with Regulation M under the Exchange Act, during the business day prior to the pricing of the offering, before the commencement of offers or sales of our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our common stock at a level above that which might otherwise prevail in the open market and, if commenced, may be discontinued at any time. </w:t>
      </w:r>
    </w:p>
    <w:p>
      <w:pPr>
        <w:pStyle w:val="TextBody"/>
        <w:bidi w:val="0"/>
        <w:spacing w:before="240" w:after="0"/>
        <w:jc w:val="left"/>
        <w:rPr>
          <w:rFonts w:ascii="Times New Roman" w:hAnsi="Times New Roman"/>
          <w:sz w:val="20"/>
        </w:rPr>
      </w:pPr>
      <w:r>
        <w:rPr>
          <w:rFonts w:ascii="Times New Roman" w:hAnsi="Times New Roman"/>
          <w:sz w:val="20"/>
        </w:rPr>
        <w:t xml:space="preserve">We may sell our securities directly or through agents we designate from time to time. We will name any agent involved in the offering and sale of our securities and we will describe any commissions we will pay the agent in the prospectus supplement. Unless the prospectus supplement states otherwise, our agent will act on a best-efforts basis for the period of its appointment.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the applicable prospectus supplement, each class or series of securities will be a new issue with no trading market, other than our common stock, which is traded on the Nasdaq Global Select Market. We may elect to list any other class or series of securities on any exchanges, but we are not obligated to do so. We cannot guarantee the liquidity of the trading markets for any securities. </w:t>
      </w:r>
    </w:p>
    <w:p>
      <w:pPr>
        <w:pStyle w:val="TextBody"/>
        <w:bidi w:val="0"/>
        <w:spacing w:before="240" w:after="0"/>
        <w:jc w:val="left"/>
        <w:rPr>
          <w:rFonts w:ascii="Times New Roman" w:hAnsi="Times New Roman"/>
          <w:sz w:val="20"/>
        </w:rPr>
      </w:pPr>
      <w:r>
        <w:rPr>
          <w:rFonts w:ascii="Times New Roman" w:hAnsi="Times New Roman"/>
          <w:sz w:val="20"/>
        </w:rPr>
        <w:t xml:space="preserve">Under agreements that we may enter, underwriters, dealers and agents who participate in the distribution of our securities may be entitled to indemnification by us against certain liabilities, including liabilities under the Securities Act, or contribution with respect to payments that the agents or underwriters may make with respect to these liabilities. Underwriters, dealers and agents may engage in transactions with, or perform services for, us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If so indicated in the applicable prospectus supplement, we will authorize underwriters or other persons acting as our agents to solicit offers by certain institutions to purchase our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us. The obligations of any purchaser under any such contract will be subject to the condition that the purchase of our securities shall not at the time of delivery be prohibited under the laws of the jurisdiction to which such purchaser is subject. The underwriters and such other agents will not have any responsibility in respect of the validity or performance of such contracts. Such contracts will be subject only to those conditions set forth in the prospectus supplement, and the prospectus supplement will set forth the commission payable for solicitation of such contracts.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parties in such sale transactions will be underwriters and, if not identified in this prospectus, will be identified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In order to comply with the securities laws of certain states, if applicable, our securities offered hereby will be sold in such jurisdictions only through registered or licensed brokers or dealers.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29" w:name="toc29698_28"/>
      <w:bookmarkEnd w:id="29"/>
      <w:r>
        <w:rPr>
          <w:rFonts w:ascii="Times New Roman" w:hAnsi="Times New Roman"/>
          <w:b/>
          <w:sz w:val="20"/>
        </w:rPr>
        <w:t xml:space="preserve">CUSTODIAN, TRANSFER AND DIVIDEND PAYING AGENT AND REGISTRAR </w:t>
      </w:r>
    </w:p>
    <w:p>
      <w:pPr>
        <w:pStyle w:val="TextBody"/>
        <w:bidi w:val="0"/>
        <w:spacing w:before="240" w:after="0"/>
        <w:jc w:val="left"/>
        <w:rPr>
          <w:rFonts w:ascii="Times New Roman" w:hAnsi="Times New Roman"/>
          <w:sz w:val="20"/>
        </w:rPr>
      </w:pPr>
      <w:r>
        <w:rPr>
          <w:rFonts w:ascii="Times New Roman" w:hAnsi="Times New Roman"/>
          <w:sz w:val="20"/>
        </w:rPr>
        <w:t xml:space="preserve">Our securities are held by U.S. Bank National Association pursuant to a custody agreement. The principal business address of U.S. Bank National Association is Corporate Trust Services, One Federal Street, 3rd Floor, Boston, MA 02110, telephone: (617) 603-6538. Equiniti Trust Company, LLC will serve as our transfer agent, distribution paying agent and registrar. The principal business address of Equiniti Trust Company, LLC is 6201 15th Avenue, Brooklyn, New York 11219, telephone: (800) 937-5449.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30" w:name="toc29698_29"/>
      <w:bookmarkEnd w:id="30"/>
      <w:r>
        <w:rPr>
          <w:rFonts w:ascii="Times New Roman" w:hAnsi="Times New Roman"/>
          <w:b/>
          <w:sz w:val="20"/>
        </w:rPr>
        <w:t xml:space="preserve">BROKERAGE ALLOCATION AND OTHER PRACTICES </w:t>
      </w:r>
    </w:p>
    <w:p>
      <w:pPr>
        <w:pStyle w:val="TextBody"/>
        <w:bidi w:val="0"/>
        <w:spacing w:before="240" w:after="0"/>
        <w:jc w:val="left"/>
        <w:rPr>
          <w:rFonts w:ascii="Times New Roman" w:hAnsi="Times New Roman"/>
          <w:sz w:val="20"/>
        </w:rPr>
      </w:pPr>
      <w:r>
        <w:rPr>
          <w:rFonts w:ascii="Times New Roman" w:hAnsi="Times New Roman"/>
          <w:sz w:val="20"/>
        </w:rPr>
        <w:t xml:space="preserve">Since we will acquire and dispose of many of our investments in privately negotiated transactions, many of the transactions that we engage in will not require the use of brokers or the payment of brokerage commissions. Subject to policies established by our board of directors, our investment advisor will be primarily responsible for selecting brokers and dealers to execute transactions with respect to the publicly-traded securities portion of our portfolio transactions and the allocation of brokerage commissions. Our investment advisor does not expect to execute transactions through any particular broker or dealer but will seek to obtain the best net results for us under the circumstances, taking into account such factors as price (including the applicable brokerage commission or dealer spread), size of order, difficulty of execution and operational facilities of the firm and the firm’s risk and skill in positioning blocks of securities. Our investment advisor generally will seek reasonably competitive trade execution costs but will not necessarily pay the lowest spread or commission available. Subject to applicable legal requirements and consistent with Section 28(e) of the Exchange Act, our investment advisor may select a broker based upon brokerage or research services provided to our investment advisor and us and any other clients. In return for such services, we may pay a higher commission than other brokers would charge if our investment advisor determines in good faith that such commission is reasonable in relation to the services provided.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31" w:name="toc29698_30"/>
      <w:bookmarkEnd w:id="31"/>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will be passed upon for us by Eversheds Sutherland (US) LLP. Eversheds Sutherland (US) LLP also represents our investment advisor. Certain legal matters in connection with any offering pursuant to this prospectus will be passed upon for the underwriters, if any, by the counsel named in the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32" w:name="toc29698_31"/>
      <w:bookmarkEnd w:id="32"/>
      <w:r>
        <w:rPr>
          <w:rFonts w:ascii="Times New Roman" w:hAnsi="Times New Roman"/>
          <w:b/>
          <w:sz w:val="20"/>
        </w:rPr>
        <w:t xml:space="preserve">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have selected RSM US LLP as our independent registered public accounting firm located at 30 South Wacker Drive, Suite 3300, Chicago, Illinois 60606. The consolidated financial statements of Fidus Investment Corporation as of December 31, 2023, have been audited by RSM US LLP.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and the Senior Securities table incorporated by reference under the heading “Senior Securities” for Fidus Investment Corporation and subsidiaries have been incorporated by reference herein and in the registration statement in reliance upon the reports of RSM US LLP, our independent registered public accounting firm, incorporated by reference herein, in reliance upon such report and upon the authority of such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33" w:name="toc29698_32"/>
      <w:bookmarkEnd w:id="33"/>
      <w:r>
        <w:rPr>
          <w:rFonts w:ascii="Times New Roman" w:hAnsi="Times New Roman"/>
          <w:b/>
          <w:sz w:val="20"/>
        </w:rPr>
        <w:t xml:space="preserve">AVAILABLE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we filed with the SEC. This prospectus does not contain all of the information set forth in the registration statement, some of which is contained in exhibits to the registration statement as permitted by the rules and regulations of the SEC. For further information with respect to us and the securities we are offering under this prospectus, we refer you to the registration statement, including the exhibits filed as a part of the registration statement. Statements contained in this prospectus concerning the contents of any contract or any other document are not necessarily complete. If a contract or other document has been filed as an exhibit to the registration statement, please see the copy of the contract or document that has been filed. Each statement in this prospectus relating to a contract or document filed as an exhibit is qualified in all respects by the filed exhibit. </w:t>
      </w:r>
    </w:p>
    <w:p>
      <w:pPr>
        <w:pStyle w:val="TextBody"/>
        <w:bidi w:val="0"/>
        <w:spacing w:before="240" w:after="0"/>
        <w:jc w:val="left"/>
        <w:rPr>
          <w:rFonts w:ascii="Times New Roman" w:hAnsi="Times New Roman"/>
          <w:sz w:val="20"/>
        </w:rPr>
      </w:pPr>
      <w:r>
        <w:rPr>
          <w:rFonts w:ascii="Times New Roman" w:hAnsi="Times New Roman"/>
          <w:sz w:val="20"/>
        </w:rPr>
        <w:t xml:space="preserve">We file with or submit to the SEC annual, quarterly and current reports, proxy statements and other information meeting the informational requirements of the Exchange Act. This information is available free of charge on our website at </w:t>
      </w:r>
      <w:r>
        <w:rPr>
          <w:rFonts w:ascii="Times New Roman" w:hAnsi="Times New Roman"/>
          <w:i/>
          <w:sz w:val="20"/>
        </w:rPr>
        <w:t>www.fdus.com</w:t>
      </w:r>
      <w:r>
        <w:rPr>
          <w:rFonts w:ascii="Times New Roman" w:hAnsi="Times New Roman"/>
          <w:sz w:val="20"/>
        </w:rPr>
        <w:t xml:space="preserve">. Information contained on our website is not incorporated into this prospectus and you should not consider such information to be part of this document. The SEC maintains an Internet site that contains reports, proxy and information statements and other information filed electronically by us with the SEC, which are available on the SEC’s website at </w:t>
      </w:r>
      <w:r>
        <w:rPr>
          <w:rFonts w:ascii="Times New Roman" w:hAnsi="Times New Roman"/>
          <w:i/>
          <w:sz w:val="20"/>
        </w:rPr>
        <w:t>www.sec.gov</w:t>
      </w:r>
      <w:r>
        <w:rPr>
          <w:rFonts w:ascii="Times New Roman" w:hAnsi="Times New Roman"/>
          <w:sz w:val="20"/>
        </w:rPr>
        <w:t xml:space="preserve">. You may also obtain such information by contacting us in writing at 1603 Orrington Avenue, Suite 1005, Evanston, Illinois 60201, Attention: Investor Relations.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34" w:name="toc29698_33"/>
      <w:bookmarkEnd w:id="34"/>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have filed with the SEC. We may “incorporate by reference” the information that we file with the SEC, which means that we can disclose important information to you by referring you to those documents. The information incorporated by reference is considered to comprise a part of this prospectus from the date we file that document. Any reports filed by us with the SEC subsequent to the date of the initial registration statement and prior to effectiveness of the registration statement, and subsequent to the date of this prospectus and before the date that any offering of any securities by means of this prospectus and any accompanying prospectus supplement is terminated will automatically update and, where applicable, supersede any information contained in this prospectus or incorporated by reference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into this prospectus our filings listed below and any future filings that we may file with the SEC under Section 13(a), 13(c), 14 or 15(d) of the Exchange Act, subsequent to the date of the initial registration statement and prior to effectiveness of the registration statement, and subsequent to the date of this prospectus until all of the securities offered by this prospectus and any accompanying prospectus supplement have been sold or we otherwise terminate the offering of these securities; provided, however, that information “furnished” under Item 2.02 or Item 7.01 of Form 8-K or other information “furnished” to the SEC which is not deemed filed is not incorporated by reference in this prospectus and any accompanying prospectus supplement. Information that we file with the SEC subsequent to the date of the initial registration statement will automatically update and may supersede information in this prospectus, any accompanying prospectus supplement and information previously filed with the SEC.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accompanying prospectus supplement incorporate by reference the documents set forth below that have previously been filed with the SEC: </w:t>
      </w:r>
    </w:p>
    <w:p>
      <w:pPr>
        <w:pStyle w:val="TextBody"/>
        <w:bidi w:val="0"/>
        <w:spacing w:before="0" w:after="0"/>
        <w:jc w:val="left"/>
        <w:rPr/>
      </w:pPr>
      <w:r>
        <w:rPr/>
        <w:t> </w:t>
      </w:r>
    </w:p>
    <w:tbl>
      <w:tblPr>
        <w:tblW w:w="9670" w:type="dxa"/>
        <w:jc w:val="left"/>
        <w:tblInd w:w="0" w:type="dxa"/>
        <w:tblLayout w:type="fixed"/>
        <w:tblCellMar>
          <w:top w:w="0" w:type="dxa"/>
          <w:left w:w="0" w:type="dxa"/>
          <w:bottom w:w="0" w:type="dxa"/>
          <w:right w:w="0" w:type="dxa"/>
        </w:tblCellMar>
      </w:tblPr>
      <w:tblGrid>
        <w:gridCol w:w="75"/>
        <w:gridCol w:w="110"/>
        <w:gridCol w:w="60"/>
        <w:gridCol w:w="94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25" w:type="dxa"/>
            <w:tcBorders/>
            <w:vAlign w:val="center"/>
          </w:tcPr>
          <w:p>
            <w:pPr>
              <w:pStyle w:val="TableContents"/>
              <w:bidi w:val="0"/>
              <w:spacing w:before="0" w:after="0"/>
              <w:jc w:val="left"/>
              <w:rPr/>
            </w:pPr>
            <w:hyperlink r:id="rId30">
              <w:r>
                <w:rPr>
                  <w:rStyle w:val="InternetLink"/>
                  <w:rFonts w:ascii="Times New Roman" w:hAnsi="Times New Roman"/>
                  <w:sz w:val="20"/>
                </w:rPr>
                <w:t>Annual Report on Form 10-K</w:t>
              </w:r>
            </w:hyperlink>
            <w:r>
              <w:rPr>
                <w:rFonts w:ascii="Times New Roman" w:hAnsi="Times New Roman"/>
                <w:sz w:val="20"/>
              </w:rPr>
              <w:t xml:space="preserve"> for the fiscal year ended December 31, 2023 filed with the SEC on February 29, 2024; </w:t>
            </w:r>
          </w:p>
        </w:tc>
      </w:tr>
    </w:tbl>
    <w:p>
      <w:pPr>
        <w:pStyle w:val="TextBody"/>
        <w:bidi w:val="0"/>
        <w:spacing w:before="0" w:after="0"/>
        <w:jc w:val="left"/>
        <w:rPr/>
      </w:pPr>
      <w:r>
        <w:rPr/>
        <w:t> </w:t>
      </w:r>
    </w:p>
    <w:tbl>
      <w:tblPr>
        <w:tblW w:w="9325" w:type="dxa"/>
        <w:jc w:val="left"/>
        <w:tblInd w:w="0" w:type="dxa"/>
        <w:tblLayout w:type="fixed"/>
        <w:tblCellMar>
          <w:top w:w="0" w:type="dxa"/>
          <w:left w:w="0" w:type="dxa"/>
          <w:bottom w:w="0" w:type="dxa"/>
          <w:right w:w="0" w:type="dxa"/>
        </w:tblCellMar>
      </w:tblPr>
      <w:tblGrid>
        <w:gridCol w:w="75"/>
        <w:gridCol w:w="110"/>
        <w:gridCol w:w="60"/>
        <w:gridCol w:w="90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0"/>
              <w:jc w:val="left"/>
              <w:rPr/>
            </w:pPr>
            <w:hyperlink r:id="rId31">
              <w:r>
                <w:rPr>
                  <w:rStyle w:val="InternetLink"/>
                  <w:rFonts w:ascii="Times New Roman" w:hAnsi="Times New Roman"/>
                  <w:sz w:val="20"/>
                </w:rPr>
                <w:t>Quarterly Report on Form 10-Q</w:t>
              </w:r>
            </w:hyperlink>
            <w:r>
              <w:rPr>
                <w:rFonts w:ascii="Times New Roman" w:hAnsi="Times New Roman"/>
                <w:sz w:val="20"/>
              </w:rPr>
              <w:t xml:space="preserve"> for the fiscal quarter ended March 31, 2024 filed with the SEC on May 2,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rFonts w:ascii="Times New Roman" w:hAnsi="Times New Roman"/>
                <w:sz w:val="20"/>
              </w:rPr>
              <w:t xml:space="preserve">Current Report on Form 8-K (other than information furnished rather than filed in accordance with SEC rules) filed with the SEC on </w:t>
            </w:r>
            <w:hyperlink r:id="rId32">
              <w:r>
                <w:rPr>
                  <w:rStyle w:val="InternetLink"/>
                  <w:rFonts w:ascii="Times New Roman" w:hAnsi="Times New Roman"/>
                  <w:sz w:val="20"/>
                </w:rPr>
                <w:t>February 29, 2024</w:t>
              </w:r>
            </w:hyperlink>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hyperlink r:id="rId33">
              <w:r>
                <w:rPr>
                  <w:rStyle w:val="InternetLink"/>
                  <w:rFonts w:ascii="Times New Roman" w:hAnsi="Times New Roman"/>
                  <w:sz w:val="20"/>
                </w:rPr>
                <w:t>Definitive Proxy Statement on Schedule 14A</w:t>
              </w:r>
            </w:hyperlink>
            <w:r>
              <w:rPr>
                <w:rFonts w:ascii="Times New Roman" w:hAnsi="Times New Roman"/>
                <w:sz w:val="20"/>
              </w:rPr>
              <w:t xml:space="preserve"> (but only with respect to information required by Part III of our Annual Report on Form 10-K for the fiscal year ended December 31, 2024), filed with the SEC on March 22, 2024;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rFonts w:ascii="Times New Roman" w:hAnsi="Times New Roman"/>
                <w:sz w:val="20"/>
              </w:rPr>
              <w:t>The description of our common stock contained in </w:t>
            </w:r>
            <w:hyperlink r:id="rId34">
              <w:r>
                <w:rPr>
                  <w:rStyle w:val="InternetLink"/>
                  <w:rFonts w:ascii="Times New Roman" w:hAnsi="Times New Roman"/>
                  <w:sz w:val="20"/>
                </w:rPr>
                <w:t>Exhibit 4.8</w:t>
              </w:r>
            </w:hyperlink>
            <w:r>
              <w:rPr>
                <w:rFonts w:ascii="Times New Roman" w:hAnsi="Times New Roman"/>
                <w:sz w:val="20"/>
              </w:rPr>
              <w:t xml:space="preserve"> of our Annual Report on Form 10-K for the year ended December 31, 2023, which updated the description thereof in our Registration Statement on </w:t>
            </w:r>
            <w:hyperlink r:id="rId35">
              <w:r>
                <w:rPr>
                  <w:rStyle w:val="InternetLink"/>
                  <w:rFonts w:ascii="Times New Roman" w:hAnsi="Times New Roman"/>
                  <w:sz w:val="20"/>
                </w:rPr>
                <w:t>Form 8-A</w:t>
              </w:r>
            </w:hyperlink>
            <w:r>
              <w:rPr>
                <w:rFonts w:ascii="Times New Roman" w:hAnsi="Times New Roman"/>
                <w:sz w:val="20"/>
              </w:rPr>
              <w:t xml:space="preserve"> (File No. 001-35207), as filed with the SEC on June 16, 2011, including any amendment or report filed for the purpose of updating such description prior to the termination of the offering of the common stock registered hereby.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obtain copies of these filings, see “Available Information,” or you may request a copy of these filings (other than exhibits, unless the exhibits are specifically incorporated by reference into these documents) at no cost by writing or calling the following address and telephone number: </w:t>
      </w:r>
    </w:p>
    <w:p>
      <w:pPr>
        <w:pStyle w:val="TextBody"/>
        <w:bidi w:val="0"/>
        <w:spacing w:before="240" w:after="0"/>
        <w:jc w:val="center"/>
        <w:rPr>
          <w:rFonts w:ascii="Times New Roman" w:hAnsi="Times New Roman"/>
          <w:sz w:val="20"/>
        </w:rPr>
      </w:pPr>
      <w:r>
        <w:rPr>
          <w:rFonts w:ascii="Times New Roman" w:hAnsi="Times New Roman"/>
          <w:sz w:val="20"/>
        </w:rPr>
        <w:t xml:space="preserve">Fidus Investment Corporation </w:t>
      </w:r>
    </w:p>
    <w:p>
      <w:pPr>
        <w:pStyle w:val="TextBody"/>
        <w:bidi w:val="0"/>
        <w:spacing w:before="0" w:after="0"/>
        <w:jc w:val="center"/>
        <w:rPr>
          <w:rFonts w:ascii="Times New Roman" w:hAnsi="Times New Roman"/>
          <w:sz w:val="20"/>
        </w:rPr>
      </w:pPr>
      <w:r>
        <w:rPr>
          <w:rFonts w:ascii="Times New Roman" w:hAnsi="Times New Roman"/>
          <w:sz w:val="20"/>
        </w:rPr>
        <w:t xml:space="preserve">1603 Orrington Avenue </w:t>
      </w:r>
    </w:p>
    <w:p>
      <w:pPr>
        <w:pStyle w:val="TextBody"/>
        <w:bidi w:val="0"/>
        <w:spacing w:before="0" w:after="0"/>
        <w:jc w:val="center"/>
        <w:rPr>
          <w:rFonts w:ascii="Times New Roman" w:hAnsi="Times New Roman"/>
          <w:sz w:val="20"/>
        </w:rPr>
      </w:pPr>
      <w:r>
        <w:rPr>
          <w:rFonts w:ascii="Times New Roman" w:hAnsi="Times New Roman"/>
          <w:sz w:val="20"/>
        </w:rPr>
        <w:t xml:space="preserve">Suite 1005, Evanston, Illinois 60201 </w:t>
      </w:r>
    </w:p>
    <w:p>
      <w:pPr>
        <w:pStyle w:val="TextBody"/>
        <w:bidi w:val="0"/>
        <w:spacing w:before="0" w:after="0"/>
        <w:jc w:val="center"/>
        <w:rPr>
          <w:rFonts w:ascii="Times New Roman" w:hAnsi="Times New Roman"/>
          <w:sz w:val="20"/>
        </w:rPr>
      </w:pPr>
      <w:r>
        <w:rPr>
          <w:rFonts w:ascii="Times New Roman" w:hAnsi="Times New Roman"/>
          <w:sz w:val="20"/>
        </w:rPr>
        <w:t xml:space="preserve">(847) 859-3940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You should rely only on the information incorporated by reference or provided in this prospectus or any prospectus supplement. We have not authorized anyone to provide you with different or additional information, and you should not rely on such information if you receive it. We are not making an offer of or soliciting an offer to buy, any securities in any state or other jurisdiction where such offer or sale is not permitted. You should not assume that the information in this prospectus or in the documents incorporated by reference is accurate as of any date other than the date on the front of this prospectus or those documents.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bidi w:val="0"/>
        <w:jc w:val="left"/>
        <w:rPr/>
      </w:pPr>
      <w:r>
        <w:rPr/>
      </w:r>
    </w:p>
    <w:p>
      <w:pPr>
        <w:pStyle w:val="TextBody"/>
        <w:bidi w:val="0"/>
        <w:spacing w:lineRule="atLeast" w:line="142" w:before="0" w:after="0"/>
        <w:jc w:val="left"/>
        <w:rPr>
          <w:bdr w:val="single" w:sz="16" w:space="1" w:color="000000"/>
        </w:rPr>
      </w:pPr>
      <w:r>
        <w:rPr>
          <w:bdr w:val="single" w:sz="16"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344295" cy="6858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36"/>
                    <a:stretch>
                      <a:fillRect/>
                    </a:stretch>
                  </pic:blipFill>
                  <pic:spPr bwMode="auto">
                    <a:xfrm>
                      <a:off x="0" y="0"/>
                      <a:ext cx="1344295" cy="685800"/>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8"/>
        </w:rPr>
      </w:pPr>
      <w:r>
        <w:rPr>
          <w:rFonts w:ascii="Times New Roman" w:hAnsi="Times New Roman"/>
          <w:b/>
          <w:sz w:val="28"/>
        </w:rPr>
        <w:t xml:space="preserve">$100,000,000 </w:t>
      </w:r>
    </w:p>
    <w:p>
      <w:pPr>
        <w:pStyle w:val="TextBody"/>
        <w:bidi w:val="0"/>
        <w:spacing w:before="240" w:after="0"/>
        <w:jc w:val="center"/>
        <w:rPr>
          <w:rFonts w:ascii="Times New Roman" w:hAnsi="Times New Roman"/>
          <w:b/>
          <w:sz w:val="28"/>
        </w:rPr>
      </w:pPr>
      <w:r>
        <w:rPr>
          <w:rFonts w:ascii="Times New Roman" w:hAnsi="Times New Roman"/>
          <w:b/>
          <w:sz w:val="28"/>
        </w:rPr>
        <w:t xml:space="preserve">6.750% Notes due 2030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7231" w:type="dxa"/>
        <w:jc w:val="left"/>
        <w:tblInd w:w="0" w:type="dxa"/>
        <w:tblLayout w:type="fixed"/>
        <w:tblCellMar>
          <w:top w:w="0" w:type="dxa"/>
          <w:left w:w="0" w:type="dxa"/>
          <w:bottom w:w="0" w:type="dxa"/>
          <w:right w:w="0" w:type="dxa"/>
        </w:tblCellMar>
      </w:tblPr>
      <w:tblGrid>
        <w:gridCol w:w="38"/>
        <w:gridCol w:w="60"/>
        <w:gridCol w:w="3845"/>
        <w:gridCol w:w="60"/>
        <w:gridCol w:w="980"/>
        <w:gridCol w:w="60"/>
        <w:gridCol w:w="2090"/>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231" w:type="dxa"/>
            <w:gridSpan w:val="9"/>
            <w:tcBorders/>
            <w:vAlign w:val="center"/>
          </w:tcPr>
          <w:p>
            <w:pPr>
              <w:pStyle w:val="TableContents"/>
              <w:bidi w:val="0"/>
              <w:spacing w:before="0" w:after="0"/>
              <w:jc w:val="center"/>
              <w:rPr>
                <w:rFonts w:ascii="Times New Roman" w:hAnsi="Times New Roman"/>
                <w:b/>
                <w:i/>
                <w:sz w:val="20"/>
              </w:rPr>
            </w:pPr>
            <w:r>
              <w:rPr>
                <w:rFonts w:ascii="Times New Roman" w:hAnsi="Times New Roman"/>
                <w:b/>
                <w:i/>
                <w:sz w:val="20"/>
              </w:rPr>
              <w:t>Book-Running Managers</w:t>
            </w:r>
          </w:p>
          <w:p>
            <w:pPr>
              <w:pStyle w:val="TableContents"/>
              <w:bidi w:val="0"/>
              <w:spacing w:before="0" w:after="20"/>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center"/>
              <w:rPr>
                <w:b/>
              </w:rPr>
            </w:pPr>
            <w:r>
              <w:rPr>
                <w:b/>
              </w:rPr>
              <w:t>Raymond James</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283"/>
              <w:jc w:val="center"/>
              <w:rPr>
                <w:b/>
              </w:rPr>
            </w:pPr>
            <w:r>
              <w:rPr>
                <w:b/>
              </w:rPr>
              <w:t>ING</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7231" w:type="dxa"/>
            <w:gridSpan w:val="9"/>
            <w:tcBorders/>
            <w:vAlign w:val="center"/>
          </w:tcPr>
          <w:p>
            <w:pPr>
              <w:pStyle w:val="TableContents"/>
              <w:bidi w:val="0"/>
              <w:spacing w:before="0" w:after="283"/>
              <w:jc w:val="left"/>
              <w:rPr>
                <w:sz w:val="4"/>
                <w:szCs w:val="4"/>
              </w:rPr>
            </w:pPr>
            <w:r>
              <w:rPr>
                <w:sz w:val="4"/>
                <w:szCs w:val="4"/>
              </w:rPr>
            </w:r>
          </w:p>
        </w:tc>
      </w:tr>
      <w:tr>
        <w:trPr/>
        <w:tc>
          <w:tcPr>
            <w:tcW w:w="7231" w:type="dxa"/>
            <w:gridSpan w:val="9"/>
            <w:tcBorders/>
            <w:vAlign w:val="center"/>
          </w:tcPr>
          <w:p>
            <w:pPr>
              <w:pStyle w:val="TableContents"/>
              <w:bidi w:val="0"/>
              <w:spacing w:before="0" w:after="0"/>
              <w:jc w:val="center"/>
              <w:rPr>
                <w:rFonts w:ascii="Times New Roman" w:hAnsi="Times New Roman"/>
                <w:b/>
                <w:i/>
                <w:sz w:val="20"/>
              </w:rPr>
            </w:pPr>
            <w:r>
              <w:rPr>
                <w:rFonts w:ascii="Times New Roman" w:hAnsi="Times New Roman"/>
                <w:b/>
                <w:i/>
                <w:sz w:val="20"/>
              </w:rPr>
              <w:t>Lead Managers</w:t>
            </w:r>
          </w:p>
          <w:p>
            <w:pPr>
              <w:pStyle w:val="TableContents"/>
              <w:bidi w:val="0"/>
              <w:spacing w:before="0" w:after="20"/>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center"/>
              <w:rPr>
                <w:b/>
              </w:rPr>
            </w:pPr>
            <w:r>
              <w:rPr>
                <w:b/>
              </w:rPr>
              <w:t>Keefe, Bruyette &amp; Woods</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283"/>
              <w:jc w:val="center"/>
              <w:rPr>
                <w:b/>
              </w:rPr>
            </w:pPr>
            <w:r>
              <w:rPr>
                <w:b/>
              </w:rPr>
              <w:t>Oppenheimer &amp; Co.</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center"/>
              <w:rPr/>
            </w:pPr>
            <w:r>
              <w:rPr/>
              <w:t>         </w:t>
            </w:r>
            <w:r>
              <w:rPr>
                <w:i/>
              </w:rPr>
              <w:t>A Stifel Company</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7231" w:type="dxa"/>
            <w:gridSpan w:val="9"/>
            <w:tcBorders/>
            <w:vAlign w:val="center"/>
          </w:tcPr>
          <w:p>
            <w:pPr>
              <w:pStyle w:val="TableContents"/>
              <w:bidi w:val="0"/>
              <w:spacing w:before="0" w:after="283"/>
              <w:jc w:val="left"/>
              <w:rPr>
                <w:sz w:val="4"/>
                <w:szCs w:val="4"/>
              </w:rPr>
            </w:pPr>
            <w:r>
              <w:rPr>
                <w:sz w:val="4"/>
                <w:szCs w:val="4"/>
              </w:rPr>
            </w:r>
          </w:p>
        </w:tc>
      </w:tr>
      <w:tr>
        <w:trPr/>
        <w:tc>
          <w:tcPr>
            <w:tcW w:w="7231" w:type="dxa"/>
            <w:gridSpan w:val="9"/>
            <w:tcBorders/>
            <w:vAlign w:val="center"/>
          </w:tcPr>
          <w:p>
            <w:pPr>
              <w:pStyle w:val="TableContents"/>
              <w:bidi w:val="0"/>
              <w:spacing w:before="0" w:after="0"/>
              <w:jc w:val="center"/>
              <w:rPr>
                <w:rFonts w:ascii="Times New Roman" w:hAnsi="Times New Roman"/>
                <w:b/>
                <w:i/>
                <w:sz w:val="20"/>
              </w:rPr>
            </w:pPr>
            <w:r>
              <w:rPr>
                <w:rFonts w:ascii="Times New Roman" w:hAnsi="Times New Roman"/>
                <w:b/>
                <w:i/>
                <w:sz w:val="20"/>
              </w:rPr>
              <w:t>Co-Managers</w:t>
            </w:r>
          </w:p>
          <w:p>
            <w:pPr>
              <w:pStyle w:val="TableContents"/>
              <w:bidi w:val="0"/>
              <w:spacing w:before="0" w:after="20"/>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center"/>
              <w:rPr>
                <w:b/>
              </w:rPr>
            </w:pPr>
            <w:r>
              <w:rPr>
                <w:b/>
              </w:rPr>
              <w:t>B. Riley Securities</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283"/>
              <w:jc w:val="center"/>
              <w:rPr>
                <w:b/>
              </w:rPr>
            </w:pPr>
            <w:r>
              <w:rPr>
                <w:b/>
              </w:rPr>
              <w:t>Clear Street</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480" w:after="0"/>
        <w:jc w:val="center"/>
        <w:rPr>
          <w:rFonts w:ascii="Times New Roman" w:hAnsi="Times New Roman"/>
          <w:sz w:val="20"/>
        </w:rPr>
      </w:pPr>
      <w:r>
        <w:rPr>
          <w:rFonts w:ascii="Times New Roman" w:hAnsi="Times New Roman"/>
          <w:b/>
          <w:sz w:val="20"/>
        </w:rPr>
        <w:t>October 1, 2025</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16" w:space="1" w:color="000000"/>
        </w:rPr>
      </w:pPr>
      <w:r>
        <w:rPr>
          <w:bdr w:val="single" w:sz="16" w:space="1" w:color="000000"/>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513363/000095017025034612/fdus-20241231.htm" TargetMode="External"/><Relationship Id="rId4" Type="http://schemas.openxmlformats.org/officeDocument/2006/relationships/hyperlink" Target="http://www.sec.gov/Archives/edgar/data/../../../ix?doc=/Archives/edgar/data/1513363/000095017025066925/fdus-20250331.htm" TargetMode="External"/><Relationship Id="rId5" Type="http://schemas.openxmlformats.org/officeDocument/2006/relationships/hyperlink" Target="http://www.sec.gov/Archives/edgar/data/../../../ix?doc=/Archives/edgar/data/1513363/000095017025105009/fdus-20250630.htm" TargetMode="External"/><Relationship Id="rId6" Type="http://schemas.openxmlformats.org/officeDocument/2006/relationships/hyperlink" Target="http://www.sec.gov/Archives/edgar/data/../../../ix?doc=/Archives/edgar/data/1513363/000119312525060210/d835312ddef14a.htm" TargetMode="External"/><Relationship Id="rId7" Type="http://schemas.openxmlformats.org/officeDocument/2006/relationships/hyperlink" Target="http://www.sec.gov/Archives/edgar/data/../../../ix?doc=/Archives/edgar/data/1513363/000095017025034612/fdus-20241231.htm" TargetMode="External"/><Relationship Id="rId8" Type="http://schemas.openxmlformats.org/officeDocument/2006/relationships/hyperlink" Target="http://www.sec.gov/Archives/edgar/data/../../../ix?doc=/Archives/edgar/data/1513363/000119312525054037/d917020d8k.htm" TargetMode="External"/><Relationship Id="rId9" Type="http://schemas.openxmlformats.org/officeDocument/2006/relationships/hyperlink" Target="http://www.sec.gov/Archives/edgar/data/../../../ix?doc=/Archives/edgar/data/1513363/000119312525057824/d822632d8k.htm" TargetMode="External"/><Relationship Id="rId10" Type="http://schemas.openxmlformats.org/officeDocument/2006/relationships/hyperlink" Target="http://www.sec.gov/Archives/edgar/data/../../../ix?doc=/Archives/edgar/data/1513363/000119312525084308/d883327d8k.htm" TargetMode="External"/><Relationship Id="rId11" Type="http://schemas.openxmlformats.org/officeDocument/2006/relationships/hyperlink" Target="http://www.sec.gov/Archives/edgar/data/../../../ix?doc=/Archives/edgar/data/1513363/000119312525139957/d215326d8k.htm" TargetMode="External"/><Relationship Id="rId12" Type="http://schemas.openxmlformats.org/officeDocument/2006/relationships/image" Target="media/image1.jpeg"/><Relationship Id="rId13" Type="http://schemas.openxmlformats.org/officeDocument/2006/relationships/hyperlink" Target="http://www.sec.gov/Archives/edgar/data/../../../ix?doc=/Archives/edgar/data/1513363/000095017024023065/fdus-20231231.htm" TargetMode="External"/><Relationship Id="rId14" Type="http://schemas.openxmlformats.org/officeDocument/2006/relationships/hyperlink" Target="http://www.sec.gov/Archives/edgar/data/../../../ix?doc=/Archives/edgar/data/1513363/000095017024023065/fdus-20231231.htm" TargetMode="External"/><Relationship Id="rId15" Type="http://schemas.openxmlformats.org/officeDocument/2006/relationships/hyperlink" Target="http://www.sec.gov/Archives/edgar/data/../../../ix?doc=/Archives/edgar/data/1513363/000095017024023065/fdus-20231231.htm" TargetMode="External"/><Relationship Id="rId16" Type="http://schemas.openxmlformats.org/officeDocument/2006/relationships/hyperlink" Target="http://www.sec.gov/Archives/edgar/data/../../../ix?doc=/Archives/edgar/data/1513363/000095017024023065/fdus-20231231.htm" TargetMode="External"/><Relationship Id="rId17" Type="http://schemas.openxmlformats.org/officeDocument/2006/relationships/hyperlink" Target="http://www.sec.gov/Archives/edgar/data/../../../ix?doc=/Archives/edgar/data/1513363/000095017024023065/fdus-20231231.htm" TargetMode="External"/><Relationship Id="rId18" Type="http://schemas.openxmlformats.org/officeDocument/2006/relationships/hyperlink" Target="http://www.sec.gov/Archives/edgar/data/../../../ix?doc=/Archives/edgar/data/0001513363/000095017024052089/fdus-20240331.htm" TargetMode="External"/><Relationship Id="rId19" Type="http://schemas.openxmlformats.org/officeDocument/2006/relationships/hyperlink" Target="http://www.sec.gov/Archives/edgar/data/../../../ix?doc=/Archives/edgar/data/1513363/000095017024023065/fdus-20231231.htm" TargetMode="External"/><Relationship Id="rId20" Type="http://schemas.openxmlformats.org/officeDocument/2006/relationships/hyperlink" Target="http://www.sec.gov/Archives/edgar/data/../../../ix?doc=/Archives/edgar/data/0001513363/000095017024052089/fdus-20240331.htm" TargetMode="External"/><Relationship Id="rId21" Type="http://schemas.openxmlformats.org/officeDocument/2006/relationships/hyperlink" Target="http://www.sec.gov/Archives/edgar/data/../../../ix?doc=/Archives/edgar/data/1513363/000095017024023065/fdus-20231231.htm" TargetMode="External"/><Relationship Id="rId22" Type="http://schemas.openxmlformats.org/officeDocument/2006/relationships/hyperlink" Target="http://www.sec.gov/Archives/edgar/data/../../../ix?doc=/Archives/edgar/data/1513363/000095017024023065/fdus-20231231.htm" TargetMode="External"/><Relationship Id="rId23" Type="http://schemas.openxmlformats.org/officeDocument/2006/relationships/hyperlink" Target="http://www.sec.gov/Archives/edgar/data/../../../ix?doc=/Archives/edgar/data/1513363/000095017024023065/fdus-20231231.htm" TargetMode="External"/><Relationship Id="rId24" Type="http://schemas.openxmlformats.org/officeDocument/2006/relationships/hyperlink" Target="http://www.sec.gov/Archives/edgar/data/../../../ix?doc=/Archives/edgar/data/1513363/000119312524075189/d787423ddef14a.htm" TargetMode="External"/><Relationship Id="rId25" Type="http://schemas.openxmlformats.org/officeDocument/2006/relationships/hyperlink" Target="http://www.sec.gov/Archives/edgar/data/../../../ix?doc=/Archives/edgar/data/1513363/000095017024023065/fdus-20231231.htm" TargetMode="External"/><Relationship Id="rId26" Type="http://schemas.openxmlformats.org/officeDocument/2006/relationships/hyperlink" Target="http://www.sec.gov/Archives/edgar/data/../../../ix?doc=/Archives/edgar/data/1513363/000095017024023065/fdus-20231231.htm" TargetMode="External"/><Relationship Id="rId27" Type="http://schemas.openxmlformats.org/officeDocument/2006/relationships/hyperlink" Target="http://www.sec.gov/Archives/edgar/data/../../../ix?doc=/Archives/edgar/data/1513363/000119312524075189/d787423ddef14a.htm" TargetMode="External"/><Relationship Id="rId28" Type="http://schemas.openxmlformats.org/officeDocument/2006/relationships/hyperlink" Target="http://www.sec.gov/Archives/edgar/data/../../../ix?doc=/Archives/edgar/data/1513363/000119312524075189/d787423ddef14a.htm" TargetMode="External"/><Relationship Id="rId29" Type="http://schemas.openxmlformats.org/officeDocument/2006/relationships/hyperlink" Target="http://www.sec.gov/Archives/edgar/data/../../../ix?doc=/Archives/edgar/data/1513363/000095017024023065/fdus-20231231.htm" TargetMode="External"/><Relationship Id="rId30" Type="http://schemas.openxmlformats.org/officeDocument/2006/relationships/hyperlink" Target="http://www.sec.gov/Archives/edgar/data/../../../ix?doc=/Archives/edgar/data/1513363/000095017024023065/fdus-20231231.htm" TargetMode="External"/><Relationship Id="rId31" Type="http://schemas.openxmlformats.org/officeDocument/2006/relationships/hyperlink" Target="http://www.sec.gov/Archives/edgar/data/../../../ix?doc=/Archives/edgar/data/0001513363/000095017024052089/fdus-20240331.htm" TargetMode="External"/><Relationship Id="rId32" Type="http://schemas.openxmlformats.org/officeDocument/2006/relationships/hyperlink" Target="http://www.sec.gov/Archives/edgar/data/../../../ix?doc=/Archives/edgar/data/0001513363/000119312524053672/d803783d8k.htm" TargetMode="External"/><Relationship Id="rId33" Type="http://schemas.openxmlformats.org/officeDocument/2006/relationships/hyperlink" Target="http://www.sec.gov/Archives/edgar/data/../../../ix?doc=/Archives/edgar/data/1513363/000119312524075189/d787423ddef14a.htm" TargetMode="External"/><Relationship Id="rId34" Type="http://schemas.openxmlformats.org/officeDocument/2006/relationships/hyperlink" Target="http://www.sec.gov/Archives/edgar/data/../../../ix?doc=/Archives/edgar/data/1513363/000095017024023065/fdus-20231231.htm" TargetMode="External"/><Relationship Id="rId35" Type="http://schemas.openxmlformats.org/officeDocument/2006/relationships/hyperlink" Target="http://www.sec.gov/Archives/edgar/data/1513363/000095012311059556/w83196e8va12b.htm" TargetMode="External"/><Relationship Id="rId36" Type="http://schemas.openxmlformats.org/officeDocument/2006/relationships/image" Target="media/image1.jpeg"/><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100</Pages>
  <Words>73796</Words>
  <Characters>381160</Characters>
  <CharactersWithSpaces>462377</CharactersWithSpaces>
  <Paragraphs>15334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